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AC0" w:rsidRPr="00EE2AC0" w:rsidRDefault="00EE2AC0" w:rsidP="00EE2AC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E2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F7CAF5" wp14:editId="3732046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C0" w:rsidRPr="00EE2AC0" w:rsidRDefault="00EE2AC0" w:rsidP="00EE2AC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2AC0" w:rsidRPr="00EE2AC0" w:rsidRDefault="00EE2AC0" w:rsidP="00EE2AC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E2AC0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AC0" w:rsidRPr="00EE2AC0" w:rsidRDefault="00EE2AC0" w:rsidP="00EE2AC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732DB">
        <w:rPr>
          <w:rFonts w:ascii="Times New Roman" w:hAnsi="Times New Roman" w:cs="Times New Roman"/>
          <w:sz w:val="28"/>
          <w:szCs w:val="28"/>
          <w:lang w:eastAsia="en-US"/>
        </w:rPr>
        <w:t xml:space="preserve">17.03.2022         </w:t>
      </w:r>
      <w:r w:rsidRPr="00EE2AC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5732DB">
        <w:rPr>
          <w:rFonts w:ascii="Times New Roman" w:hAnsi="Times New Roman" w:cs="Times New Roman"/>
          <w:sz w:val="28"/>
          <w:szCs w:val="28"/>
          <w:lang w:eastAsia="en-US"/>
        </w:rPr>
        <w:t>105</w:t>
      </w:r>
    </w:p>
    <w:p w:rsidR="00EE2AC0" w:rsidRPr="00EE2AC0" w:rsidRDefault="00EE2AC0" w:rsidP="00EE2AC0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EE2AC0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EE2AC0" w:rsidRPr="00EE2AC0" w:rsidRDefault="00EE2AC0" w:rsidP="00EE2AC0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EE2AC0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>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EE2AC0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4A497A" w:rsidRPr="0020792D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округа 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31.10.2021 № 468-п 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 – Югры 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0792D">
        <w:rPr>
          <w:rFonts w:ascii="Times New Roman" w:hAnsi="Times New Roman" w:cs="Times New Roman"/>
          <w:sz w:val="28"/>
          <w:szCs w:val="28"/>
        </w:rPr>
        <w:t>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</w:t>
      </w:r>
      <w:r w:rsidR="00EE2AC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EE2AC0" w:rsidRPr="0020792D" w:rsidRDefault="00EE2AC0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EE2AC0">
              <w:rPr>
                <w:rFonts w:ascii="Times New Roman" w:hAnsi="Times New Roman"/>
                <w:sz w:val="28"/>
                <w:szCs w:val="28"/>
              </w:rPr>
              <w:t>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</w:t>
            </w:r>
            <w:r w:rsid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на 2019 – 202</w:t>
            </w:r>
            <w:r w:rsidR="00F66477" w:rsidRPr="00EE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администрации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="00A51661" w:rsidRPr="00EE2AC0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EE2AC0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</w:t>
            </w:r>
            <w:r w:rsidR="00713D70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района (муниципальное казенное учреждение </w:t>
            </w:r>
            <w:r w:rsidR="00713D7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EE2AC0" w:rsidRDefault="009D1B0B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</w:t>
            </w:r>
            <w:r w:rsidR="00713D7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13D70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(муниципальное автономное дошкольное образовательное учреждение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 «Детский сад «Березка»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</w:t>
            </w:r>
            <w:r w:rsidR="00F66477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по культуре, спорту и социальной политике, муниципальное </w:t>
            </w:r>
            <w:r w:rsidR="006F4BA2" w:rsidRPr="00EE2AC0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6F4BA2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EE2A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портивная школа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района»;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(комитет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по финансам, сельские поселения;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="00B22854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EE2AC0" w:rsidRDefault="00B22854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Ханты-Мансийского района (муниципальное казенное учреждение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«Централизованная бухгалтерия» (далее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4D" w:rsidRPr="00EE2AC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A3154D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 (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МКУ ХМР «ЦБ»)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EE2AC0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0F2CB1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2E85" w:rsidRPr="00EE2AC0" w:rsidRDefault="00D22E85" w:rsidP="00EE2AC0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EE2AC0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и технологий, нацеленных на формирование индивидуальной траектории развития личности ребенка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с учетом его потребностей, интересов и способностей,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в том числе государственная поддержка проектов, направленных на повышение роли школы в воспитании детей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EE2AC0" w:rsidRDefault="00307EFA" w:rsidP="00EE2AC0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5.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A23" w:rsidRPr="00EE2AC0" w:rsidRDefault="00307EFA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EE2AC0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EE2AC0" w:rsidRDefault="00291A23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7.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современными требованиями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9. Организация отдыха детей в оздоровительных учреждениях различных типов, создание условий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для организации дос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D82878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EE2AC0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EE2AC0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EE2AC0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Оказание образовательных услуг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в организациях дошкольного, начального общего, основного общего, среднего общего и дополнительного образования на терр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0E6" w:rsidRPr="00EE2AC0" w:rsidRDefault="000220E6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программы,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в том числе направленные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в Ханты-Мансийском районе национальных проектов (программ) Российской Федерации, параметры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>их финансового обеспечения</w:t>
            </w:r>
          </w:p>
        </w:tc>
        <w:tc>
          <w:tcPr>
            <w:tcW w:w="7229" w:type="dxa"/>
          </w:tcPr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</w:t>
            </w:r>
            <w:r w:rsidR="00121A9F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>– 0,0 тыс. рублей</w:t>
            </w:r>
            <w:r w:rsidR="0071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398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="00D82878" w:rsidRPr="00EE2AC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E2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A9F" w:rsidRPr="00EE2AC0" w:rsidRDefault="00121A9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EE2AC0" w:rsidRDefault="00121A9F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возрасте до трех лет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12D7D" w:rsidRPr="00EE2AC0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 w:rsidRPr="00EE2AC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EE2AC0">
              <w:rPr>
                <w:rFonts w:ascii="Times New Roman" w:hAnsi="Times New Roman"/>
                <w:sz w:val="28"/>
                <w:szCs w:val="28"/>
              </w:rPr>
              <w:t>9</w:t>
            </w:r>
            <w:r w:rsidR="00DE2499" w:rsidRPr="00EE2AC0">
              <w:rPr>
                <w:rFonts w:ascii="Times New Roman" w:hAnsi="Times New Roman"/>
                <w:sz w:val="28"/>
                <w:szCs w:val="28"/>
              </w:rPr>
              <w:t>2,7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DE2499" w:rsidRPr="00EE2AC0">
              <w:rPr>
                <w:rFonts w:ascii="Times New Roman" w:hAnsi="Times New Roman"/>
                <w:sz w:val="28"/>
                <w:szCs w:val="28"/>
              </w:rPr>
              <w:t>6,1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68E" w:rsidRPr="00EE2AC0" w:rsidRDefault="00DB068E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2. Сохранение доли обучающихся в муниципальных общеобразовательных организациях, занимающихся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br/>
              <w:t xml:space="preserve">в одну смену, в общей численности обучающихся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br/>
              <w:t>в муниципальных общеобразовательных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  <w:t>организациях – на уровне 100,0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3.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1,36 раза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4.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935789" w:rsidRPr="00EE2AC0">
              <w:rPr>
                <w:rFonts w:ascii="Times New Roman" w:hAnsi="Times New Roman"/>
                <w:sz w:val="28"/>
                <w:szCs w:val="28"/>
              </w:rPr>
              <w:t>1,4</w:t>
            </w:r>
            <w:r w:rsidR="00EE2AC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до 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713D7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5.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с 0% до 30%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5DF" w:rsidRPr="00EE2AC0" w:rsidRDefault="000C45DF" w:rsidP="00713D7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6. Увеличение доли детей в возрасте от 5 до 18 лет, охваченных дополнительным образованием с 72,8%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до 83%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7. Увеличение охват</w:t>
            </w:r>
            <w:r w:rsidR="00A30BB5" w:rsidRPr="00EE2A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детей деятельностью региональных центров выявления, поддержки и развития способностей и талантов у детей, молодежи, технопарков </w:t>
            </w:r>
            <w:r w:rsidR="00D53036" w:rsidRPr="00EE2AC0">
              <w:rPr>
                <w:rFonts w:ascii="Times New Roman" w:hAnsi="Times New Roman"/>
                <w:sz w:val="28"/>
                <w:szCs w:val="28"/>
              </w:rPr>
              <w:t>«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r w:rsidR="00D53036" w:rsidRPr="00EE2AC0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IT-куб</w:t>
            </w:r>
            <w:r w:rsidR="00D53036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="00A30BB5" w:rsidRPr="00EE2AC0">
              <w:rPr>
                <w:rFonts w:ascii="Times New Roman" w:hAnsi="Times New Roman"/>
                <w:sz w:val="28"/>
                <w:szCs w:val="28"/>
              </w:rPr>
              <w:t xml:space="preserve"> с 0% до 10%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8.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</w:t>
            </w:r>
            <w:r w:rsidR="007F59A0" w:rsidRPr="00EE2AC0">
              <w:rPr>
                <w:rFonts w:ascii="Times New Roman" w:hAnsi="Times New Roman"/>
                <w:sz w:val="28"/>
                <w:szCs w:val="28"/>
              </w:rPr>
              <w:t>«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Билет в будущее</w:t>
            </w:r>
            <w:r w:rsidR="007F59A0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с 0% до 30%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9. Увеличение количества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 до 1 единицы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10. Увеличение доли общеобразовательных организаций,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оснащ</w:t>
            </w:r>
            <w:r w:rsidR="00713D7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нных в целях внедрения цифровой образовательной среды с 0% до 33,33%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11.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0% до 15%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12. Увеличение доли педагогических работников, использующих сервисы федеральной информационно-сервисной платформы цифровой образовательной среды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0% до 20%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6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13. Увеличение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0% до 20%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C04" w:rsidRPr="00EE2AC0" w:rsidRDefault="00041C04" w:rsidP="00EE2AC0">
            <w:pPr>
              <w:pStyle w:val="ConsPlusNormal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2AC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14. Сохранение доступности дошкольного образования для детей в возрасте от полут</w:t>
            </w:r>
            <w:r w:rsidR="00713D7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ора до трех лет на уровне 100,0</w:t>
            </w:r>
            <w:r w:rsidRPr="00EE2AC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  <w:r w:rsidR="00713D7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2555F" w:rsidRPr="00EE2AC0" w:rsidRDefault="00041C04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55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A2555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организаций, получивших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вознаграждение за классное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руководство, в общей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 такой категории</w:t>
            </w:r>
            <w:r w:rsidR="00A2555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2479" w:rsidRPr="00EE2AC0" w:rsidRDefault="008141DA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обучающихся,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получающих начальное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 в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организациях, получающих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бесплатное горячее питание,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общему количеству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обучающихся, получающих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в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C04" w:rsidRPr="00EE2AC0" w:rsidRDefault="00A22479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 с 934 до 1 </w:t>
            </w:r>
            <w:r w:rsidR="000A3409" w:rsidRPr="00EE2AC0">
              <w:rPr>
                <w:rFonts w:ascii="Times New Roman" w:hAnsi="Times New Roman"/>
                <w:sz w:val="28"/>
                <w:szCs w:val="28"/>
              </w:rPr>
              <w:t>312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EE2AC0" w:rsidRDefault="00041C04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 w:rsidRPr="00EE2AC0">
              <w:rPr>
                <w:rFonts w:ascii="Times New Roman" w:hAnsi="Times New Roman"/>
                <w:sz w:val="28"/>
                <w:szCs w:val="28"/>
              </w:rPr>
              <w:t>8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br/>
              <w:t xml:space="preserve">от 6 до 17 лет (включительно), охваченных всеми формами отдыха </w:t>
            </w:r>
            <w:r w:rsidR="00713D70">
              <w:rPr>
                <w:rFonts w:ascii="Times New Roman" w:hAnsi="Times New Roman"/>
                <w:sz w:val="28"/>
                <w:szCs w:val="28"/>
              </w:rPr>
              <w:t>и оздоровления, на уровне 100,0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>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DE5" w:rsidRPr="00EE2AC0" w:rsidRDefault="00536954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 w:rsidRPr="00EE2AC0">
              <w:rPr>
                <w:rFonts w:ascii="Times New Roman" w:hAnsi="Times New Roman"/>
                <w:sz w:val="28"/>
                <w:szCs w:val="28"/>
              </w:rPr>
              <w:t>9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.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 Сохранение обеспеченности питания детей</w:t>
            </w:r>
            <w:r w:rsidR="00F90C83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>в возрасте от 6 до 17 лет (включительно) в лагерях с дневным</w:t>
            </w:r>
            <w:r w:rsidR="00F90C83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>пребыванием детей, в возрасте</w:t>
            </w:r>
            <w:r w:rsidR="00F90C83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от 8 до 17 лет (включительно) </w:t>
            </w:r>
            <w:r w:rsidR="00EE2A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>в палаточных лагерях, в возрасте</w:t>
            </w:r>
            <w:r w:rsid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от 14 до 17 лет (включительно) </w:t>
            </w:r>
            <w:r w:rsidR="00EE2AC0">
              <w:rPr>
                <w:rFonts w:ascii="Times New Roman" w:hAnsi="Times New Roman"/>
                <w:sz w:val="28"/>
                <w:szCs w:val="28"/>
              </w:rPr>
              <w:t>–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 в лагерях труда и отдыха с дневным пребыванием детей, на уровне 100%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EE2AC0" w:rsidRDefault="00A22479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141DA" w:rsidRPr="00EE2A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граждан, обеспеченных мерами социальной поддержки, от численности граждан, имеющих право на их получение и обратившихся </w:t>
            </w:r>
            <w:r w:rsid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>за их получением, на уровне 100,0 %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EE2AC0">
              <w:rPr>
                <w:rFonts w:ascii="Times New Roman" w:hAnsi="Times New Roman"/>
                <w:sz w:val="28"/>
                <w:szCs w:val="28"/>
              </w:rPr>
              <w:t>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EE2AC0" w:rsidRDefault="00277801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 xml:space="preserve">10 083 348,3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EE2AC0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EE2AC0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EE2AC0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EE2AC0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 w:rsidRPr="00EE2AC0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EE2AC0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 w:rsidRPr="00EE2AC0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EE2AC0">
              <w:rPr>
                <w:rFonts w:ascii="Times New Roman" w:hAnsi="Times New Roman"/>
                <w:sz w:val="28"/>
                <w:szCs w:val="28"/>
              </w:rPr>
              <w:t>2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> </w:t>
            </w:r>
            <w:r w:rsidR="00E45AC2" w:rsidRPr="00EE2AC0">
              <w:rPr>
                <w:rFonts w:ascii="Times New Roman" w:hAnsi="Times New Roman"/>
                <w:sz w:val="28"/>
                <w:szCs w:val="28"/>
              </w:rPr>
              <w:t>1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>73 570,7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EE2AC0" w:rsidRDefault="004D35C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>2 017 098,5</w:t>
            </w:r>
            <w:r w:rsidR="00E45AC2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EE2AC0" w:rsidRDefault="00127B36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 w:rsidRPr="00EE2AC0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EE2AC0" w:rsidTr="00EE2AC0">
        <w:tc>
          <w:tcPr>
            <w:tcW w:w="2518" w:type="dxa"/>
          </w:tcPr>
          <w:p w:rsidR="00127B36" w:rsidRPr="00EE2AC0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EE2AC0" w:rsidRDefault="00127B36" w:rsidP="00EE2A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ежегодное уточнение перечня программных мероприятий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 и затрат по ним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недостижение показателей, предусмотренных соглашениями </w:t>
      </w:r>
      <w:r w:rsidR="00EE2AC0">
        <w:rPr>
          <w:sz w:val="28"/>
          <w:szCs w:val="28"/>
        </w:rPr>
        <w:br/>
      </w:r>
      <w:r w:rsidRPr="0020792D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недостижение целевых показателей муниципальной программы, </w:t>
      </w:r>
      <w:r w:rsidR="00EE2AC0">
        <w:rPr>
          <w:sz w:val="28"/>
          <w:szCs w:val="28"/>
        </w:rPr>
        <w:br/>
      </w:r>
      <w:r w:rsidRPr="0020792D">
        <w:rPr>
          <w:sz w:val="28"/>
          <w:szCs w:val="28"/>
        </w:rPr>
        <w:lastRenderedPageBreak/>
        <w:t>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</w:t>
      </w:r>
      <w:r w:rsidR="00EE2AC0">
        <w:rPr>
          <w:sz w:val="28"/>
          <w:szCs w:val="28"/>
        </w:rPr>
        <w:br/>
      </w:r>
      <w:r w:rsidRPr="0020792D">
        <w:rPr>
          <w:sz w:val="28"/>
          <w:szCs w:val="28"/>
        </w:rPr>
        <w:t>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1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2123"/>
        <w:gridCol w:w="1214"/>
        <w:gridCol w:w="928"/>
        <w:gridCol w:w="928"/>
        <w:gridCol w:w="931"/>
        <w:gridCol w:w="815"/>
        <w:gridCol w:w="937"/>
        <w:gridCol w:w="1457"/>
        <w:gridCol w:w="4693"/>
      </w:tblGrid>
      <w:tr w:rsidR="003C4305" w:rsidRPr="00B35A1F" w:rsidTr="00DB772F">
        <w:trPr>
          <w:trHeight w:val="20"/>
        </w:trPr>
        <w:tc>
          <w:tcPr>
            <w:tcW w:w="149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70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0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</w:t>
            </w:r>
            <w:r w:rsidR="00EE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1623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DB772F">
        <w:trPr>
          <w:cantSplit/>
          <w:trHeight w:val="1134"/>
        </w:trPr>
        <w:tc>
          <w:tcPr>
            <w:tcW w:w="149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1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4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0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4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20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1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1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2" w:type="pct"/>
          </w:tcPr>
          <w:p w:rsidR="003C4305" w:rsidRPr="00AE1B1B" w:rsidRDefault="0090583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4305" w:rsidRPr="00AE1B1B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3C4305" w:rsidRPr="00AE1B1B" w:rsidRDefault="00833F4F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4" w:type="pct"/>
          </w:tcPr>
          <w:p w:rsidR="003C4305" w:rsidRPr="00AE1B1B" w:rsidRDefault="003C4305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23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35A1F">
              <w:rPr>
                <w:sz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 xml:space="preserve">– численность обучающихся, занимающихся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 xml:space="preserve">во вторую смену (форма № ОО-1, раздел 2.9,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>строки 01-03, графа 4);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 xml:space="preserve">в третью смену (форма № ОО-1, раздел 2.9,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>строки 01-03, графа 5);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– количество участников (выпускников текущего года) образовательной организации, имеющих активный результат (далее – участники)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предмету,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– средний тестовый балл участников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предмету.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этом средний балл по базовой математике переведен из 5-балльной в 100-балльную систему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 следующей формулой: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233033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муниципальные дошкольные образовательные </w:t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учреждения, в общей численности детей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в возрасте от 1 до 6 лет, %</w:t>
            </w:r>
          </w:p>
        </w:tc>
        <w:tc>
          <w:tcPr>
            <w:tcW w:w="420" w:type="pct"/>
            <w:shd w:val="clear" w:color="auto" w:fill="auto"/>
          </w:tcPr>
          <w:p w:rsidR="00814367" w:rsidRPr="00233033" w:rsidRDefault="00935789" w:rsidP="0093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</w:t>
            </w:r>
          </w:p>
        </w:tc>
        <w:tc>
          <w:tcPr>
            <w:tcW w:w="321" w:type="pct"/>
            <w:shd w:val="clear" w:color="auto" w:fill="auto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1" w:type="pct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</w:tcPr>
          <w:p w:rsidR="00814367" w:rsidRPr="00B35A1F" w:rsidRDefault="00D52D8D" w:rsidP="0081436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814367" w:rsidRPr="00B35A1F">
              <w:rPr>
                <w:bCs/>
                <w:sz w:val="20"/>
              </w:rPr>
              <w:t>оказатель о</w:t>
            </w:r>
            <w:r w:rsidR="00814367"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</w:t>
            </w:r>
            <w:r>
              <w:rPr>
                <w:sz w:val="20"/>
              </w:rPr>
              <w:br/>
            </w:r>
            <w:r w:rsidR="00814367" w:rsidRPr="00B35A1F">
              <w:rPr>
                <w:sz w:val="20"/>
              </w:rPr>
              <w:t xml:space="preserve">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</w:t>
            </w:r>
            <w:r w:rsidR="00814367" w:rsidRPr="00B35A1F">
              <w:rPr>
                <w:sz w:val="20"/>
              </w:rPr>
              <w:lastRenderedPageBreak/>
              <w:t xml:space="preserve">года, но не обеспеченных местами </w:t>
            </w:r>
            <w:r w:rsidR="00814367"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D52D8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052BB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90583E" w:rsidRDefault="00713D70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90583E">
              <w:rPr>
                <w:bCs/>
                <w:sz w:val="20"/>
              </w:rPr>
              <w:t xml:space="preserve">ациональный проект «Образование», </w:t>
            </w:r>
            <w:r w:rsidR="003860F9">
              <w:rPr>
                <w:bCs/>
                <w:sz w:val="20"/>
              </w:rPr>
              <w:t>р</w:t>
            </w:r>
            <w:r w:rsidR="0090583E">
              <w:rPr>
                <w:bCs/>
                <w:sz w:val="20"/>
              </w:rPr>
              <w:t>егиональный проект «Современная школа».</w:t>
            </w:r>
          </w:p>
          <w:p w:rsidR="00814367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Методика расчета показателя утверждена </w:t>
            </w:r>
            <w:r w:rsidRPr="008271B6">
              <w:rPr>
                <w:bCs/>
                <w:sz w:val="20"/>
              </w:rPr>
              <w:t>Приказ</w:t>
            </w:r>
            <w:r>
              <w:rPr>
                <w:bCs/>
                <w:sz w:val="20"/>
              </w:rPr>
              <w:t>ом</w:t>
            </w:r>
            <w:r w:rsidRPr="008271B6">
              <w:rPr>
                <w:bCs/>
                <w:sz w:val="20"/>
              </w:rPr>
              <w:t xml:space="preserve"> Министерства просвещения Р</w:t>
            </w:r>
            <w:r w:rsidR="00713D70">
              <w:rPr>
                <w:bCs/>
                <w:sz w:val="20"/>
              </w:rPr>
              <w:t>оссийской Федерации от 20 мая 2021 года</w:t>
            </w:r>
            <w:r w:rsidRPr="008271B6">
              <w:rPr>
                <w:bCs/>
                <w:sz w:val="20"/>
              </w:rPr>
              <w:t xml:space="preserve"> </w:t>
            </w:r>
            <w:r w:rsidR="00D52D8D">
              <w:rPr>
                <w:bCs/>
                <w:sz w:val="20"/>
              </w:rPr>
              <w:t>№</w:t>
            </w:r>
            <w:r w:rsidRPr="008271B6">
              <w:rPr>
                <w:bCs/>
                <w:sz w:val="20"/>
              </w:rPr>
              <w:t xml:space="preserve"> 262 </w:t>
            </w:r>
            <w:r w:rsidR="00D52D8D">
              <w:rPr>
                <w:bCs/>
                <w:sz w:val="20"/>
              </w:rPr>
              <w:t>«</w:t>
            </w:r>
            <w:r w:rsidRPr="008271B6">
              <w:rPr>
                <w:bCs/>
                <w:sz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D52D8D">
              <w:rPr>
                <w:bCs/>
                <w:sz w:val="20"/>
              </w:rPr>
              <w:t>«</w:t>
            </w:r>
            <w:r w:rsidRPr="008271B6">
              <w:rPr>
                <w:bCs/>
                <w:sz w:val="20"/>
              </w:rPr>
              <w:t>Образование</w:t>
            </w:r>
            <w:r w:rsidR="00D52D8D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.</w:t>
            </w:r>
          </w:p>
          <w:p w:rsidR="008271B6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Рассчитывается по формуле:</w:t>
            </w:r>
          </w:p>
          <w:p w:rsidR="008271B6" w:rsidRDefault="007877A6" w:rsidP="007877A6">
            <w:pPr>
              <w:pStyle w:val="ConsPlusNormal"/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A+</m:t>
                  </m:r>
                  <m:nary>
                    <m:naryPr>
                      <m:chr m:val="∑"/>
                      <m:limLoc m:val="subSup"/>
                      <m:grow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100%</m:t>
              </m:r>
            </m:oMath>
            <w:r>
              <w:rPr>
                <w:sz w:val="20"/>
              </w:rPr>
              <w:t>,</w:t>
            </w:r>
          </w:p>
          <w:p w:rsidR="007877A6" w:rsidRPr="007877A6" w:rsidRDefault="007877A6" w:rsidP="007877A6">
            <w:pPr>
              <w:pStyle w:val="ConsPlusNormal"/>
              <w:rPr>
                <w:sz w:val="20"/>
              </w:rPr>
            </w:pPr>
            <w:r w:rsidRPr="007877A6">
              <w:rPr>
                <w:sz w:val="20"/>
              </w:rPr>
              <w:t>где: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F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:rsidR="007877A6" w:rsidRPr="007877A6" w:rsidRDefault="007877A6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А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7877A6" w:rsidRPr="007877A6" w:rsidRDefault="00AE1B1B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AE1B1B">
              <w:rPr>
                <w:rFonts w:ascii="Times New Roman CYR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15661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" cy="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7A6" w:rsidRPr="007877A6">
              <w:rPr>
                <w:sz w:val="20"/>
              </w:rPr>
              <w:t> </w:t>
            </w:r>
            <w:r w:rsidR="00D52D8D">
              <w:rPr>
                <w:sz w:val="20"/>
              </w:rPr>
              <w:t>–</w:t>
            </w:r>
            <w:r w:rsidR="007877A6"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i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номер субъекта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N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количество субъектов в Российской Федерации.</w:t>
            </w:r>
          </w:p>
          <w:p w:rsidR="008271B6" w:rsidRPr="007877A6" w:rsidRDefault="007877A6" w:rsidP="00D52D8D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С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общая численность педагогических работников общеобразовательных организаций в соответствии </w:t>
            </w:r>
            <w:r w:rsidR="00D52D8D">
              <w:rPr>
                <w:sz w:val="20"/>
              </w:rPr>
              <w:br/>
            </w:r>
            <w:r w:rsidRPr="007877A6">
              <w:rPr>
                <w:sz w:val="20"/>
              </w:rPr>
              <w:t>с формой федерального статистического наблюдения</w:t>
            </w:r>
            <w:r w:rsidR="002865EB" w:rsidRPr="002865EB">
              <w:rPr>
                <w:sz w:val="20"/>
                <w:u w:val="single"/>
              </w:rPr>
              <w:t>№</w:t>
            </w:r>
            <w:hyperlink r:id="rId20" w:anchor="/document/74475509/entry/1000" w:history="1">
              <w:r w:rsidRPr="002865EB">
                <w:rPr>
                  <w:rStyle w:val="a6"/>
                  <w:color w:val="auto"/>
                  <w:sz w:val="20"/>
                </w:rPr>
                <w:t> OO-1</w:t>
              </w:r>
            </w:hyperlink>
            <w:r w:rsidRPr="007877A6">
              <w:rPr>
                <w:sz w:val="20"/>
              </w:rPr>
              <w:t> </w:t>
            </w:r>
            <w:r w:rsidR="00D52D8D">
              <w:rPr>
                <w:sz w:val="20"/>
              </w:rPr>
              <w:t>«</w:t>
            </w:r>
            <w:r w:rsidRPr="007877A6">
              <w:rPr>
                <w:sz w:val="20"/>
              </w:rPr>
              <w:t xml:space="preserve">Сведения об организации, осуществляющей образовательную деятельность </w:t>
            </w:r>
            <w:r w:rsidR="00D52D8D">
              <w:rPr>
                <w:sz w:val="20"/>
              </w:rPr>
              <w:br/>
            </w:r>
            <w:r w:rsidRPr="007877A6">
              <w:rPr>
                <w:sz w:val="20"/>
              </w:rPr>
              <w:t xml:space="preserve">по образовательным программам начального общего, </w:t>
            </w:r>
            <w:r w:rsidRPr="007877A6">
              <w:rPr>
                <w:sz w:val="20"/>
              </w:rPr>
              <w:lastRenderedPageBreak/>
              <w:t>основного общего, среднего общего образования</w:t>
            </w:r>
            <w:r w:rsidR="00D52D8D">
              <w:rPr>
                <w:sz w:val="20"/>
              </w:rPr>
              <w:t>»</w:t>
            </w:r>
            <w:r w:rsidRPr="007877A6">
              <w:rPr>
                <w:sz w:val="20"/>
              </w:rPr>
              <w:t>.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602B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D1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образованием, в 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623" w:type="pct"/>
          </w:tcPr>
          <w:p w:rsidR="00AF26CE" w:rsidRDefault="00713D70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F26CE">
              <w:rPr>
                <w:rFonts w:ascii="Times New Roman" w:hAnsi="Times New Roman" w:cs="Times New Roman"/>
                <w:bCs/>
                <w:sz w:val="20"/>
                <w:szCs w:val="20"/>
              </w:rPr>
              <w:t>Успех каждого ребенка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просвещения Р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>оссийской Федерации от 20 мая 2021 года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AF26CE" w:rsidRDefault="00AF26CE" w:rsidP="00AF2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609725" cy="5365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DOm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дополнительным образованием, процент;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952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5 до 18 лет (18 лет не включается), охваченных услугами дополнительного образования, на конец отчетного периода (в случае внедрения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1 сентября 2021 г. регионального навигатора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начала отчетного года до конца отчетного месяца (или отчетного года) каждый ребенок учитывается единожды, за исключением детей, занимающихся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в детских школах искусств); учет ведется нарастающим итогом);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(18 лет не включается), проживающих в Российской Федерации, на начало отчетного периода;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порядковый номер месяца отчетного года;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месяцев отчетного года, по которым выполнена оценка в отчетном году;</w:t>
            </w:r>
          </w:p>
          <w:p w:rsidR="00602BB2" w:rsidRPr="00B35A1F" w:rsidRDefault="00AF26CE" w:rsidP="00D52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порядковый номер субъекта Российской Федерации на начало отчетного периода;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D52D8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деятельностью региональных центров 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выявления, поддержки и развития способностей и талантов у детей, молодежи, технопарков 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 xml:space="preserve"> в%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pct"/>
          </w:tcPr>
          <w:p w:rsidR="003860F9" w:rsidRDefault="00713D70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3860F9" w:rsidRPr="003860F9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ациональный проект «Образование», региональный проект «Успех каждого ребенка».</w:t>
            </w:r>
          </w:p>
          <w:p w:rsidR="000C1309" w:rsidRP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Министерства просвещения Р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>оссийской Федерации от 20 мая 2021 года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FD6C37" w:rsidRDefault="00FD6C37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6C37" w:rsidRDefault="00FD6C37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охват детей деятельностью региональных центров выявления, поддержки и развития способностей и талантов у детей и молодежи, технопарков </w:t>
            </w:r>
            <w:r w:rsidR="00713D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713D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и центров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Ит-куб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, процент;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порядковый номер месяца отчетного года;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месяцев отчетного года, по которым выполнена оценка в отчетном году;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порядковый номер субъекта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10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(18 лет не включается), охваченных деятельностью региональных центров выявления, поддержки и развития способностей и талантов у детей и молодежи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10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детских технопарков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47675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мобильных детских технопарков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ключевых центров дополнительного образования детей (центров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Дом научной коллаборации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)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ключевых центров цифрового образования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до конца отчетного месяца (или отчетного года) только один раз; учет ведется нарастающим итогом);</w:t>
            </w:r>
          </w:p>
          <w:p w:rsidR="000C1309" w:rsidRPr="00B35A1F" w:rsidRDefault="00AE1B1B" w:rsidP="00D52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Chd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в возрасте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(18 лет не включается), охваченных услугами дополнительного образования, на конец отчетного периода (в случае</w:t>
            </w:r>
            <w:r w:rsidR="00713D70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 до 1 сентября 2021 года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навигатора с начала отчетного года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до конца отчетного месяца (или отчетного года) каждый ребенок учитывается единожды,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за исключением детей, занимающихся в детских школах искусств); учет ведется нарастающим итогом).</w:t>
            </w:r>
          </w:p>
        </w:tc>
      </w:tr>
      <w:tr w:rsidR="004A6CB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4A6CBD" w:rsidRDefault="004A6CBD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4" w:type="pct"/>
            <w:shd w:val="clear" w:color="auto" w:fill="auto"/>
          </w:tcPr>
          <w:p w:rsidR="004A6CBD" w:rsidRPr="00602BB2" w:rsidRDefault="004A6CBD" w:rsidP="00D52D8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основного и среднего общего образования, охваченных </w:t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мероприятиями, направленным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на раннюю профессиональную ориентацию,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раммы 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будущее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20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ED3FB7" w:rsidRPr="00ED3FB7" w:rsidRDefault="00713D70" w:rsidP="00ED3F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8A583D" w:rsidRP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Российской Федерации от 20 мая 2021 года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8A583D" w:rsidP="008A5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781050" cy="4056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32" cy="42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рамках программы 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соответствующий год, процент;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i -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участников открытых онлайн-уроков, реализуемых с учетом опыта цикла открытых уроков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направленных на раннюю профориентацию за соответствующий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05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4" cy="21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детей, принявших участие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мероприятиях по профессиональной ориентации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реализации проекта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соответствующем году;</w:t>
            </w:r>
          </w:p>
          <w:p w:rsidR="004A6CBD" w:rsidRPr="000C1309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обучающихся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по образовательным программам основного и среднего общего образования в Российской Фе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дерации за соответствующий год.</w:t>
            </w:r>
          </w:p>
        </w:tc>
      </w:tr>
      <w:tr w:rsidR="008A583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A583D" w:rsidRDefault="008A583D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3D" w:rsidRPr="008A583D" w:rsidRDefault="008A583D" w:rsidP="008A583D">
            <w:pPr>
              <w:pStyle w:val="aff5"/>
              <w:rPr>
                <w:sz w:val="20"/>
                <w:szCs w:val="20"/>
              </w:rPr>
            </w:pPr>
            <w:r w:rsidRPr="008A583D">
              <w:rPr>
                <w:sz w:val="20"/>
                <w:szCs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</w:t>
            </w:r>
            <w:r w:rsidRPr="008A583D">
              <w:rPr>
                <w:sz w:val="20"/>
                <w:szCs w:val="20"/>
              </w:rPr>
              <w:lastRenderedPageBreak/>
              <w:t xml:space="preserve">образования детей, </w:t>
            </w:r>
            <w:r w:rsidR="00D52D8D">
              <w:rPr>
                <w:sz w:val="20"/>
                <w:szCs w:val="20"/>
              </w:rPr>
              <w:br/>
            </w:r>
            <w:r w:rsidR="00026122">
              <w:rPr>
                <w:sz w:val="20"/>
                <w:szCs w:val="20"/>
              </w:rPr>
              <w:t xml:space="preserve">в </w:t>
            </w:r>
            <w:r w:rsidRPr="008A583D">
              <w:rPr>
                <w:sz w:val="20"/>
                <w:szCs w:val="20"/>
              </w:rPr>
              <w:t>единица</w:t>
            </w:r>
            <w:r w:rsidR="0002612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</w:tcPr>
          <w:p w:rsidR="00ED3FB7" w:rsidRDefault="00713D7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154305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единицы;</w:t>
            </w:r>
          </w:p>
          <w:p w:rsidR="00D86BCC" w:rsidRPr="008A583D" w:rsidRDefault="00D86BCC" w:rsidP="00D52D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i-ый субъект Российской Федерации, выдающий сертификаты дополнительного образования в рамках системы персонифицированного финансирования дополнительного образования детей.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8A583D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общеобразовательных организаций, оснащённых в целях внедрения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0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623" w:type="pct"/>
          </w:tcPr>
          <w:p w:rsidR="00ED3FB7" w:rsidRDefault="00713D7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проектов национального проекта 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133605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41" cy="4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Fцос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общеобразовательных организаций, оснащенных в целях внедрения цифровой образовательной среды за отчетный год, процент;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общеобразовательных организаций, оснащенных в целях внедрения цифровой образовательной среды, в i-ом субъекте Российской Федерации за отчетный год,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52D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Yвсего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число общеобразовательных организаций в Российской Федерации в соответствии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 </w:t>
            </w:r>
            <w:hyperlink r:id="rId40" w:history="1"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формой </w:t>
              </w:r>
              <w:r w:rsidR="002865EB"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№</w:t>
              </w:r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ОО-1</w:t>
              </w:r>
            </w:hyperlink>
            <w:r w:rsidR="00D52D8D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52D8D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отчетный период, единиц.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обучающихся, для которых созданы равные условия получения качественного образования </w:t>
            </w:r>
            <w:r w:rsidR="00D52D8D">
              <w:rPr>
                <w:sz w:val="20"/>
                <w:szCs w:val="20"/>
              </w:rPr>
              <w:br/>
            </w:r>
            <w:r w:rsidRPr="00D86BCC">
              <w:rPr>
                <w:sz w:val="20"/>
                <w:szCs w:val="20"/>
              </w:rPr>
              <w:t xml:space="preserve">вне зависимости </w:t>
            </w:r>
            <w:r w:rsidR="00D52D8D">
              <w:rPr>
                <w:sz w:val="20"/>
                <w:szCs w:val="20"/>
              </w:rPr>
              <w:br/>
            </w:r>
            <w:r w:rsidRPr="00D86BCC">
              <w:rPr>
                <w:sz w:val="20"/>
                <w:szCs w:val="20"/>
              </w:rPr>
              <w:t xml:space="preserve">от места </w:t>
            </w:r>
            <w:r w:rsidR="00D52D8D">
              <w:rPr>
                <w:sz w:val="20"/>
                <w:szCs w:val="20"/>
              </w:rPr>
              <w:br/>
            </w:r>
            <w:r w:rsidRPr="00D86BCC">
              <w:rPr>
                <w:sz w:val="20"/>
                <w:szCs w:val="20"/>
              </w:rPr>
              <w:t xml:space="preserve">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</w:tcPr>
          <w:p w:rsidR="00ED3FB7" w:rsidRDefault="00713D7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4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15" cy="45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педагогических работников, использующих сервисы и ресурсы федеральной информационно-сервисной платформы цифровой образовательной среды;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52D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педагогических работников в Российской Федерации в отчетном году в соответствии с </w:t>
            </w:r>
            <w:hyperlink r:id="rId45" w:history="1">
              <w:r w:rsidR="002865EB"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формой №</w:t>
              </w:r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OO-1</w:t>
              </w:r>
            </w:hyperlink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человек.</w:t>
            </w:r>
          </w:p>
        </w:tc>
      </w:tr>
      <w:tr w:rsidR="00DC119E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C119E" w:rsidRDefault="00DC119E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9E" w:rsidRPr="00D86BCC" w:rsidRDefault="00DC119E" w:rsidP="00026122">
            <w:pPr>
              <w:pStyle w:val="aff5"/>
              <w:rPr>
                <w:sz w:val="20"/>
                <w:szCs w:val="20"/>
              </w:rPr>
            </w:pPr>
            <w:r w:rsidRPr="00DC119E">
              <w:rPr>
                <w:sz w:val="20"/>
                <w:szCs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</w:t>
            </w:r>
            <w:r w:rsidRPr="00DC119E">
              <w:rPr>
                <w:sz w:val="20"/>
                <w:szCs w:val="20"/>
              </w:rPr>
              <w:lastRenderedPageBreak/>
              <w:t xml:space="preserve">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3D70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3B6D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C119E" w:rsidRDefault="00DC119E" w:rsidP="00DC1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1720240" cy="609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99" cy="6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образовательных организаций, реализующих программы общего образования,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которых не менее 50% обучающихся и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C119E" w:rsidRPr="00D86BCC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50" w:history="1"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формой </w:t>
              </w:r>
              <w:r w:rsidR="002865EB"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№</w:t>
              </w:r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OO-1</w:t>
              </w:r>
            </w:hyperlink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 отчетный период, единиц.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403B5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03B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B259F0" w:rsidP="00ED3FB7">
            <w:pPr>
              <w:pStyle w:val="aff5"/>
              <w:rPr>
                <w:sz w:val="20"/>
                <w:szCs w:val="20"/>
              </w:rPr>
            </w:pPr>
            <w:r w:rsidRPr="00B259F0">
              <w:rPr>
                <w:sz w:val="20"/>
                <w:szCs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D52D8D">
              <w:rPr>
                <w:sz w:val="20"/>
                <w:szCs w:val="20"/>
              </w:rPr>
              <w:br/>
            </w:r>
            <w:r w:rsidR="00ED3FB7">
              <w:rPr>
                <w:sz w:val="20"/>
                <w:szCs w:val="20"/>
              </w:rPr>
              <w:lastRenderedPageBreak/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3D7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 262 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B259F0" w:rsidP="00B25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229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3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образовательных организаций, реализующих программы общего образования,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по Российской Федерации, единиц;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B259F0" w:rsidRPr="00D86BCC" w:rsidRDefault="00B259F0" w:rsidP="009A4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51" w:history="1">
              <w:r w:rsidRPr="009A4E43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формой </w:t>
              </w:r>
              <w:r w:rsidR="002865EB" w:rsidRPr="009A4E43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№</w:t>
              </w:r>
              <w:r w:rsidRPr="009A4E43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OO-1</w:t>
              </w:r>
            </w:hyperlink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за отчетный период, единиц.</w:t>
            </w:r>
          </w:p>
        </w:tc>
      </w:tr>
      <w:tr w:rsidR="00864591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64591" w:rsidRDefault="00864591" w:rsidP="00864591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4" w:type="pct"/>
            <w:shd w:val="clear" w:color="auto" w:fill="auto"/>
          </w:tcPr>
          <w:p w:rsidR="00864591" w:rsidRPr="00B35A1F" w:rsidRDefault="00864591" w:rsidP="0086459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64591" w:rsidRPr="00B35A1F" w:rsidRDefault="00864591" w:rsidP="008645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«Содействие занятости женщин </w:t>
            </w:r>
            <w:r w:rsidR="009A4E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дошкольного образования дл</w:t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детей </w:t>
            </w:r>
            <w:r w:rsidR="009A4E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возрасте до трех лет».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Для расчета используются данные региональных государственных информационных систем, содержащих информацию о доступности дошкольного образования.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Алгоритм расчета: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 = (Чдо / (Чдо + Чду)) * 100%,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дошкольного образования для детей в возрасте от 1,5 до 3 лет, процент;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Чдо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в возрасте от 1,5 до 3 лет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в организациях, осуществляющих образовательную деятельность по образовательным программам дошкольного образования, человек;</w:t>
            </w:r>
          </w:p>
          <w:p w:rsidR="00864591" w:rsidRPr="00B35A1F" w:rsidRDefault="00D57468" w:rsidP="009A4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Чду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в возрасте от 1,5 до 3 лет, не обеспеченных местом, нуждающихся в получении места в муниципальных организациях, осуществляющих образовательную деятельность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заявления, постановка на учет и зачисление детей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в образовательные учреждения, реализующие основную образовательную программу дошкольного образования (детские сады)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, указав в заявлениях желаемую дату получения места в дошкольн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ой образовательной организации 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1 сентября текущего учебного года и ранее, без учета детей, желающих сменить одну дошкольную организацию на другую, человек.</w:t>
            </w:r>
          </w:p>
        </w:tc>
      </w:tr>
      <w:tr w:rsidR="008141DA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1DA" w:rsidRDefault="008141DA" w:rsidP="008141D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4" w:type="pct"/>
            <w:shd w:val="clear" w:color="auto" w:fill="auto"/>
          </w:tcPr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организаций, получивших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вознаграждение </w:t>
            </w:r>
            <w:r w:rsidR="009A4E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классное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руководство, в общей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численности педагогических</w:t>
            </w:r>
          </w:p>
          <w:p w:rsidR="008141DA" w:rsidRPr="00B35A1F" w:rsidRDefault="008141DA" w:rsidP="008141DA">
            <w:pPr>
              <w:pStyle w:val="af0"/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такой категории</w:t>
            </w:r>
            <w:r w:rsid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1DA" w:rsidRPr="00B35A1F" w:rsidRDefault="008141DA" w:rsidP="008141DA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1DA" w:rsidRPr="008141DA" w:rsidRDefault="0064768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141DA" w:rsidRPr="006624E9">
              <w:rPr>
                <w:sz w:val="20"/>
                <w:szCs w:val="20"/>
              </w:rPr>
              <w:t>асчет показателя выполняется путем соотношения численности</w:t>
            </w:r>
            <w:r w:rsidR="009A4E43">
              <w:rPr>
                <w:sz w:val="20"/>
                <w:szCs w:val="20"/>
              </w:rPr>
              <w:t xml:space="preserve"> п</w:t>
            </w:r>
            <w:r w:rsidR="008141DA" w:rsidRPr="008141DA">
              <w:rPr>
                <w:sz w:val="20"/>
                <w:szCs w:val="20"/>
              </w:rPr>
              <w:t>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8141DA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руководство, в общей</w:t>
            </w:r>
          </w:p>
          <w:p w:rsidR="008141DA" w:rsidRPr="002865EB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численности педагогических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работников такой категории</w:t>
            </w:r>
            <w:r w:rsidR="001D0C4E">
              <w:rPr>
                <w:sz w:val="20"/>
                <w:szCs w:val="20"/>
              </w:rPr>
              <w:t>.</w:t>
            </w:r>
          </w:p>
          <w:p w:rsidR="008141DA" w:rsidRPr="002865EB" w:rsidRDefault="008141DA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</w:t>
            </w:r>
            <w:r w:rsidR="009A4E43">
              <w:rPr>
                <w:sz w:val="20"/>
                <w:szCs w:val="20"/>
              </w:rPr>
              <w:t>зателя производится по формуле:</w:t>
            </w:r>
          </w:p>
          <w:p w:rsidR="008141DA" w:rsidRPr="002865EB" w:rsidRDefault="008141DA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ДО = К</w:t>
            </w:r>
            <w:r w:rsidR="001D0C4E">
              <w:rPr>
                <w:sz w:val="20"/>
                <w:szCs w:val="20"/>
              </w:rPr>
              <w:t>п</w:t>
            </w:r>
            <w:r w:rsidRPr="002865EB">
              <w:rPr>
                <w:sz w:val="20"/>
                <w:szCs w:val="20"/>
              </w:rPr>
              <w:t xml:space="preserve"> / К</w:t>
            </w:r>
            <w:r w:rsidR="001D0C4E">
              <w:rPr>
                <w:sz w:val="20"/>
                <w:szCs w:val="20"/>
              </w:rPr>
              <w:t>к</w:t>
            </w:r>
            <w:r w:rsidR="009A4E43">
              <w:rPr>
                <w:sz w:val="20"/>
                <w:szCs w:val="20"/>
              </w:rPr>
              <w:t xml:space="preserve"> х 100%, где</w:t>
            </w:r>
          </w:p>
          <w:p w:rsidR="001D0C4E" w:rsidRPr="008141DA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доля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1D0C4E" w:rsidRPr="008141DA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r w:rsidRPr="002865EB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8141DA" w:rsidRPr="002865EB" w:rsidRDefault="008141DA" w:rsidP="009A4E4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r w:rsidRPr="002865EB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 xml:space="preserve">организаций, </w:t>
            </w:r>
            <w:r w:rsidR="001D0C4E">
              <w:rPr>
                <w:sz w:val="20"/>
                <w:szCs w:val="20"/>
              </w:rPr>
              <w:t xml:space="preserve">которым назначено </w:t>
            </w:r>
            <w:r w:rsidR="001D0C4E"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руководство</w:t>
            </w:r>
          </w:p>
        </w:tc>
      </w:tr>
      <w:tr w:rsidR="00A22479" w:rsidRPr="00B35A1F" w:rsidTr="007E44B7">
        <w:trPr>
          <w:trHeight w:val="4667"/>
        </w:trPr>
        <w:tc>
          <w:tcPr>
            <w:tcW w:w="149" w:type="pct"/>
            <w:shd w:val="clear" w:color="auto" w:fill="auto"/>
          </w:tcPr>
          <w:p w:rsidR="00A22479" w:rsidRDefault="00794F1A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34" w:type="pct"/>
            <w:shd w:val="clear" w:color="auto" w:fill="auto"/>
          </w:tcPr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Доля обучающихся,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общее 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организациях,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бесплатное горячее питание,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к общему количеству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обучающихся,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начальное общее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6624E9" w:rsidRDefault="00A22479" w:rsidP="00A22479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A22479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A22479" w:rsidRDefault="0064768A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2479" w:rsidRPr="00A22479">
              <w:rPr>
                <w:sz w:val="20"/>
                <w:szCs w:val="20"/>
              </w:rPr>
              <w:t>асчет показателя выполняется путем соотношения численности обучающихся,</w:t>
            </w:r>
            <w:r w:rsidR="009A4E43">
              <w:rPr>
                <w:sz w:val="20"/>
                <w:szCs w:val="20"/>
              </w:rPr>
              <w:t xml:space="preserve"> </w:t>
            </w:r>
            <w:r w:rsidR="00A22479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питание,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к общему количеству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обучающихся, получающих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начальное общее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образование в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организациях. 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ДО = Кп / 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х 100%, где</w:t>
            </w:r>
          </w:p>
          <w:p w:rsidR="002F221B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ДО </w:t>
            </w:r>
            <w:r w:rsidR="009A4E43">
              <w:rPr>
                <w:sz w:val="20"/>
                <w:szCs w:val="20"/>
              </w:rPr>
              <w:t>–</w:t>
            </w:r>
            <w:r w:rsidRPr="00A22479">
              <w:rPr>
                <w:sz w:val="20"/>
                <w:szCs w:val="20"/>
              </w:rPr>
              <w:t xml:space="preserve"> доля </w:t>
            </w:r>
            <w:r w:rsidR="002F221B" w:rsidRPr="00A22479">
              <w:rPr>
                <w:sz w:val="20"/>
                <w:szCs w:val="20"/>
              </w:rPr>
              <w:t>обучающихся,</w:t>
            </w:r>
            <w:r w:rsidR="009A4E43">
              <w:rPr>
                <w:sz w:val="20"/>
                <w:szCs w:val="20"/>
              </w:rPr>
              <w:t xml:space="preserve"> </w:t>
            </w:r>
            <w:r w:rsidR="002F221B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2F221B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</w:t>
            </w:r>
            <w:r w:rsidR="00A22479" w:rsidRPr="00A22479">
              <w:rPr>
                <w:sz w:val="20"/>
                <w:szCs w:val="20"/>
              </w:rPr>
              <w:t>;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Кп </w:t>
            </w:r>
            <w:r w:rsidR="009A4E43">
              <w:rPr>
                <w:sz w:val="20"/>
                <w:szCs w:val="20"/>
              </w:rPr>
              <w:t>–</w:t>
            </w:r>
            <w:r w:rsidRPr="00A22479">
              <w:rPr>
                <w:sz w:val="20"/>
                <w:szCs w:val="20"/>
              </w:rPr>
              <w:t xml:space="preserve"> количество педагогических работников общеобразовательных организаций, получивших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вознаграждение за классное руководство;</w:t>
            </w:r>
          </w:p>
          <w:p w:rsidR="007E44B7" w:rsidRPr="007E44B7" w:rsidRDefault="00A22479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A22479">
              <w:rPr>
                <w:sz w:val="20"/>
                <w:szCs w:val="20"/>
              </w:rPr>
              <w:t xml:space="preserve"> количество </w:t>
            </w:r>
            <w:r w:rsidR="007E44B7" w:rsidRPr="007E44B7">
              <w:rPr>
                <w:sz w:val="20"/>
                <w:szCs w:val="20"/>
              </w:rPr>
              <w:t>обучающихся, получающих</w:t>
            </w:r>
          </w:p>
          <w:p w:rsidR="007E44B7" w:rsidRPr="007E44B7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начальное общее образование в государственных и</w:t>
            </w:r>
          </w:p>
          <w:p w:rsidR="00A22479" w:rsidRPr="006624E9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муниципальных 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rFonts w:cs="Courier New"/>
                <w:sz w:val="20"/>
                <w:szCs w:val="20"/>
              </w:rPr>
              <w:t>организациях</w:t>
            </w:r>
            <w:r>
              <w:rPr>
                <w:rFonts w:cs="Courier New"/>
                <w:sz w:val="20"/>
                <w:szCs w:val="20"/>
              </w:rPr>
              <w:t>.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34" w:type="pct"/>
            <w:shd w:val="clear" w:color="auto" w:fill="auto"/>
          </w:tcPr>
          <w:p w:rsidR="00A22479" w:rsidRPr="00FD3978" w:rsidRDefault="009150E5" w:rsidP="009150E5">
            <w:pPr>
              <w:pStyle w:val="HTML0"/>
              <w:jc w:val="both"/>
              <w:rPr>
                <w:rStyle w:val="disabled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="00A22479">
              <w:rPr>
                <w:rFonts w:ascii="Times New Roman" w:hAnsi="Times New Roman"/>
              </w:rPr>
              <w:t xml:space="preserve"> детей и молодежи</w:t>
            </w:r>
            <w:r w:rsidR="00A22479" w:rsidRPr="00FD3978">
              <w:rPr>
                <w:rFonts w:ascii="Times New Roman" w:hAnsi="Times New Roman"/>
              </w:rPr>
              <w:t xml:space="preserve">, </w:t>
            </w:r>
            <w:r w:rsidR="008C247A">
              <w:rPr>
                <w:rFonts w:ascii="Times New Roman" w:hAnsi="Times New Roman"/>
              </w:rPr>
              <w:t xml:space="preserve">в возрасте до 35 лет, </w:t>
            </w:r>
            <w:r w:rsidR="00A22479" w:rsidRPr="00FD3978">
              <w:rPr>
                <w:rFonts w:ascii="Times New Roman" w:hAnsi="Times New Roman"/>
              </w:rPr>
              <w:t>вовлеченных в социально активную деятельность через увеличение охвата патриотическими проектами</w:t>
            </w:r>
            <w:r w:rsidR="00A22479">
              <w:rPr>
                <w:rFonts w:ascii="Times New Roman" w:hAnsi="Times New Roman"/>
              </w:rPr>
              <w:t>,</w:t>
            </w:r>
            <w:r w:rsidR="00A22479" w:rsidRPr="00FD397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1623" w:type="pct"/>
          </w:tcPr>
          <w:p w:rsidR="00A22479" w:rsidRPr="008F2852" w:rsidRDefault="0064768A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граждан Российской Федерации»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22479" w:rsidRPr="0040215B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Источником информации для расче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Показателя являются данные, полученные комитетом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образованию администрации Ханты-Мансийского района, по итогам проведенных мероприятий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Ханты-Мансийского района.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6 июля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 xml:space="preserve">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 до 2020 года, проводимых в рамках Десятилетия детства»; распоряжение администрации Ханты-Мансийского района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 от 6 декабря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1273-р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 2018 – 2020 годы, посвященных проведению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районе Десятилетия детства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в Российской Федерации»;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A22479" w:rsidRPr="00B35A1F" w:rsidRDefault="000D413C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A2247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Чдозд6-17 – численность детей в возрасте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 (дополнительные сведения);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Чдобщ6-17 – общая численность детей в возрасте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 (демографические данные)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34" w:type="pct"/>
            <w:shd w:val="clear" w:color="auto" w:fill="auto"/>
          </w:tcPr>
          <w:p w:rsidR="00A22479" w:rsidRPr="00DB772F" w:rsidRDefault="00A22479" w:rsidP="009A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детей в возрасте от 6 до 17 лет (включительно)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в лагерях с дневным пребыванием детей,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в возрасте от 8 до 17 лет (включительно) </w:t>
            </w:r>
            <w:r w:rsidR="009A4E4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в палаточных лагерях, в возрасте от 14 до 17 лет (включительно) </w:t>
            </w:r>
            <w:r w:rsidR="009A4E4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>в лагерях труда и отдыха с дневным пребыванием детей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64768A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22479"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сточником информации для расчета Показателя являются данные, 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полученные комитетом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по образованию администрации Ханты-Мансийского района, по итогам проведенной оздоровительной кампании на территории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граждан, обеспеченных мерами социальной поддержки,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от численности граждан, имеющих право на их получение и обратившихся за их получением,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rStyle w:val="aff6"/>
                <w:i w:val="0"/>
                <w:iCs w:val="0"/>
                <w:sz w:val="20"/>
                <w:szCs w:val="20"/>
              </w:rPr>
              <w:t>Расчет</w:t>
            </w:r>
            <w:r w:rsidRPr="002865EB">
              <w:rPr>
                <w:sz w:val="20"/>
                <w:szCs w:val="20"/>
              </w:rPr>
              <w:t> </w:t>
            </w:r>
            <w:r w:rsidRPr="002865EB">
              <w:rPr>
                <w:rStyle w:val="aff6"/>
                <w:i w:val="0"/>
                <w:iCs w:val="0"/>
                <w:sz w:val="20"/>
                <w:szCs w:val="20"/>
              </w:rPr>
              <w:t>показателя</w:t>
            </w:r>
            <w:r w:rsidRPr="002865EB">
              <w:rPr>
                <w:sz w:val="20"/>
                <w:szCs w:val="20"/>
              </w:rPr>
              <w:t xml:space="preserve"> выполняется путем соотношения численности граждан, получивших социальную поддержку, к общей численности граждан, имеющих право на их получение, за отчетный период,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в процентном выражении. Доля обеспеченных жилыми помещениями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без попечения родителей, и лиц из числа, детей, оставшихся без попечения родителей, состоявших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на учёте на получение жилого помещения, включая лиц в возрасте от 23 лет и старше, за отчетный год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в общей численности детей, оставшихся без попечения родителей, и лиц из их числа, состоящих на учете на получение жилого помещения, включая </w:t>
            </w:r>
            <w:r w:rsidRPr="002865EB">
              <w:rPr>
                <w:sz w:val="20"/>
                <w:szCs w:val="20"/>
              </w:rPr>
              <w:lastRenderedPageBreak/>
              <w:t xml:space="preserve">лиц в возрасте от 23 лет и старше </w:t>
            </w:r>
          </w:p>
          <w:p w:rsidR="00A22479" w:rsidRPr="002865EB" w:rsidRDefault="00A22479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</w:t>
            </w:r>
            <w:r w:rsidR="009A4E43">
              <w:rPr>
                <w:sz w:val="20"/>
                <w:szCs w:val="20"/>
              </w:rPr>
              <w:t>зателя производится по формуле:</w:t>
            </w:r>
          </w:p>
          <w:p w:rsidR="00A22479" w:rsidRPr="002865EB" w:rsidRDefault="00A22479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= Ко </w:t>
            </w:r>
            <w:r w:rsidR="009A4E43">
              <w:rPr>
                <w:sz w:val="20"/>
                <w:szCs w:val="20"/>
              </w:rPr>
              <w:t>/ Кс х 100%, где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доля детей-сирот 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>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Ко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детей-сирот 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>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 xml:space="preserve">Кс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детей-сирот 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>по договорам найма специализированных жилых помещений, на начало текущего года</w:t>
            </w:r>
          </w:p>
        </w:tc>
      </w:tr>
    </w:tbl>
    <w:p w:rsidR="00085BD1" w:rsidRDefault="00085BD1" w:rsidP="009A4E43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B517FA" w:rsidP="00B517FA">
      <w:pPr>
        <w:tabs>
          <w:tab w:val="center" w:pos="7001"/>
          <w:tab w:val="left" w:pos="115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893"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7FA" w:rsidRDefault="00B517FA" w:rsidP="00B517FA">
      <w:pPr>
        <w:tabs>
          <w:tab w:val="center" w:pos="7001"/>
          <w:tab w:val="left" w:pos="115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068"/>
        <w:gridCol w:w="1617"/>
        <w:gridCol w:w="1950"/>
        <w:gridCol w:w="1167"/>
        <w:gridCol w:w="1280"/>
        <w:gridCol w:w="1276"/>
        <w:gridCol w:w="1276"/>
        <w:gridCol w:w="1275"/>
        <w:gridCol w:w="1276"/>
      </w:tblGrid>
      <w:tr w:rsidR="00921365" w:rsidRPr="00085BD1" w:rsidTr="009A4E43">
        <w:trPr>
          <w:trHeight w:val="227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(связь мероприятий программы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показателями муниципальной программы)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5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50" w:type="dxa"/>
            <w:gridSpan w:val="6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21365" w:rsidRPr="00085BD1" w:rsidTr="009A4E43">
        <w:trPr>
          <w:trHeight w:val="1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83" w:type="dxa"/>
            <w:gridSpan w:val="5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921365" w:rsidRPr="00085BD1" w:rsidTr="009A4E43">
        <w:trPr>
          <w:trHeight w:val="265"/>
        </w:trPr>
        <w:tc>
          <w:tcPr>
            <w:tcW w:w="124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8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1365" w:rsidRPr="00085BD1" w:rsidTr="009A4E43">
        <w:trPr>
          <w:trHeight w:val="141"/>
        </w:trPr>
        <w:tc>
          <w:tcPr>
            <w:tcW w:w="14425" w:type="dxa"/>
            <w:gridSpan w:val="10"/>
            <w:shd w:val="clear" w:color="auto" w:fill="auto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1 «Инновационное развитие образования»</w:t>
            </w:r>
          </w:p>
        </w:tc>
      </w:tr>
      <w:tr w:rsidR="00921365" w:rsidRPr="00085BD1" w:rsidTr="009A4E43">
        <w:trPr>
          <w:trHeight w:val="401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br/>
              <w:t>Оснащ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 xml:space="preserve">ение образовательного процесса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(показатели 6, 7)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7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Стимулирование лидеров и подде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ржка системы воспитания (ПНПО)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(показатели 3)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7 545,4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1 207,2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7 545,4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1 207,2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1 257,2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1 257,2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23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1 484,4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</w:tr>
      <w:tr w:rsidR="00921365" w:rsidRPr="00085BD1" w:rsidTr="009A4E43">
        <w:trPr>
          <w:trHeight w:val="12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1 484,4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</w:tr>
      <w:tr w:rsidR="00921365" w:rsidRPr="00085BD1" w:rsidTr="009A4E43">
        <w:trPr>
          <w:trHeight w:val="41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03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173 067,0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54 347,0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815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173 067,0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54 347,0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815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Ханты-Мансийского района,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143 716,9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24 996,9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9A4E43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9A4E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143 716,9</w:t>
            </w:r>
          </w:p>
        </w:tc>
        <w:tc>
          <w:tcPr>
            <w:tcW w:w="1280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24 996,9</w:t>
            </w:r>
          </w:p>
        </w:tc>
        <w:tc>
          <w:tcPr>
            <w:tcW w:w="1276" w:type="dxa"/>
            <w:hideMark/>
          </w:tcPr>
          <w:p w:rsidR="00921365" w:rsidRPr="00F74B9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B9C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F74B9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4B9C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F74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им. В.Г. Подпругина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Троица»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Сибирский»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84 074,5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23 500,0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39 989,7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20 584,8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84 074,5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23 500,0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39 989,7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20 584,8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им. Героя Советского Союза В.Ф.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Чухарева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Нялинское»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26 576,9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25 980,0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26 576,9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25 980,0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Цингалы»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Красноленинский»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«ООШ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Реполово»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2.1.1.7.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«ООШ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Тюли»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6 262,3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4 459,1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1 603,2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6 262,3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4 459,1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1 603,2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2.1.1.8.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МБОУ ХМР 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5 689,8</w:t>
            </w:r>
          </w:p>
        </w:tc>
        <w:tc>
          <w:tcPr>
            <w:tcW w:w="1280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4 872,7</w:t>
            </w:r>
          </w:p>
        </w:tc>
        <w:tc>
          <w:tcPr>
            <w:tcW w:w="1276" w:type="dxa"/>
            <w:hideMark/>
          </w:tcPr>
          <w:p w:rsidR="00921365" w:rsidRPr="0092715C" w:rsidRDefault="00815522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817,1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5 689,8</w:t>
            </w:r>
          </w:p>
        </w:tc>
        <w:tc>
          <w:tcPr>
            <w:tcW w:w="1280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4 872,7</w:t>
            </w:r>
          </w:p>
        </w:tc>
        <w:tc>
          <w:tcPr>
            <w:tcW w:w="1276" w:type="dxa"/>
            <w:hideMark/>
          </w:tcPr>
          <w:p w:rsidR="00921365" w:rsidRPr="00815522" w:rsidRDefault="00815522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817,1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2.1.1.9.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Батово»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6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2.1.1.10.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Елизарово»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0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2.1.1.11.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«ООШ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Ягурьях»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района, в том числе: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МКДОУ ХМР «Детский сад «Росинка» с. Троица»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МКДОУ ХМР «Детский сад «Мишутка»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Белогорье»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МКДОУ ХМР «Детский сад «Колобок» п. Пырьях»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МКДОУ ХМР «Детский сад «Чебурашка» с. Тюли»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Ханты-Мансийского района,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8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Проведение мероприятий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текущему ремонту образовательных учреждений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строительства, архитектуры и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 (МКУ «УКСиР»), комитет по образованию (подведомственные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63 969,4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14 210,8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19 317,9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14 153,8</w:t>
            </w:r>
          </w:p>
        </w:tc>
      </w:tr>
      <w:tr w:rsidR="00921365" w:rsidRPr="00085BD1" w:rsidTr="009A4E43">
        <w:trPr>
          <w:trHeight w:val="7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63 969,4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14 210,8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19 317,9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14 153,8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района (расходы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косметический ремонт по 24 образовательным учреждениям на новый учебный год)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50 084,2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12 311,1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12 832,2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13 610,0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759,2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10 571,7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50 084,2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12 311,1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12 832,2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13 610,0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759,2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10 571,7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района (расходы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косметический ремонт по 13 образовательным учреждениям на новый учебный год)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12 285,2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1 799,7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1 533,3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4 507,9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3 482,1</w:t>
            </w:r>
          </w:p>
        </w:tc>
      </w:tr>
      <w:tr w:rsidR="00921365" w:rsidRPr="00085BD1" w:rsidTr="00143D11">
        <w:trPr>
          <w:trHeight w:val="1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12 285,2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1 799,7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1 533,3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4 507,9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3 482,1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1365" w:rsidRPr="00085BD1" w:rsidTr="00143D11">
        <w:trPr>
          <w:trHeight w:val="31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1365" w:rsidRPr="00085BD1" w:rsidTr="009A4E43">
        <w:trPr>
          <w:trHeight w:val="8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«УКСиР»), комитет 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28 622,6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2 793,9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9 011,0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11 582,1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4 692,1</w:t>
            </w:r>
          </w:p>
        </w:tc>
      </w:tr>
      <w:tr w:rsidR="00921365" w:rsidRPr="00085BD1" w:rsidTr="00143D11">
        <w:trPr>
          <w:trHeight w:val="95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28 622,6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2 793,9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9 011,0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11 582,1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4 692,1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Школы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13 470</w:t>
            </w:r>
            <w:r w:rsidRPr="00143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1 919,5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6 976,3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3 789,9</w:t>
            </w:r>
          </w:p>
        </w:tc>
      </w:tr>
      <w:tr w:rsidR="00921365" w:rsidRPr="00085BD1" w:rsidTr="00143D11">
        <w:trPr>
          <w:trHeight w:val="31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13 470,0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1 919,5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6 976,3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3 789,9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строительства,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11 699,6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8 322,6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2 977,0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11 699,6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8 322,6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2 977,0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3 385,0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464,4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1 612,8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886,2</w:t>
            </w:r>
          </w:p>
        </w:tc>
      </w:tr>
      <w:tr w:rsidR="00921365" w:rsidRPr="00085BD1" w:rsidTr="00143D11">
        <w:trPr>
          <w:trHeight w:val="41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3 385,0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464,4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1 612,8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886,2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921365" w:rsidRPr="00085BD1" w:rsidTr="00143D11">
        <w:trPr>
          <w:trHeight w:val="2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48 546,8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10 751,6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11 630,2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10 920,8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11 676,6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48 546,8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10 751,6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11 630,2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10 920,8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11 676,6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Школы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33 118,4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6 824,9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7 703,4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8 154,5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1 873,4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8 562,2</w:t>
            </w:r>
          </w:p>
        </w:tc>
      </w:tr>
      <w:tr w:rsidR="00921365" w:rsidRPr="00085BD1" w:rsidTr="00143D11">
        <w:trPr>
          <w:trHeight w:val="32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33 118,4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6 824,9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7 703,4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8 154,5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1 873,4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8 562,2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15 338,4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2 766,3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3 114,4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15 338,4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2 766,3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3 114,4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района (расходы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проведение лабораторных исследований)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19 298,1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5 519,0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895,1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6 411,2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19 298,1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5 519,0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895,1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6 411,2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2.5.1.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Школы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16 677,4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2 746,6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2 673,3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4 884,6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5 757,7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16 677,4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2 746,6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2 673,3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4 884,6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5 757,7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Дошкольные учреждения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2 620,7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489,8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279,9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653,5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2 620,7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489,8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279,9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653,5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9A4E43">
        <w:trPr>
          <w:trHeight w:val="64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33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30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28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220 983,6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3 353,2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66 564,8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99 636,7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51 428,9</w:t>
            </w:r>
          </w:p>
        </w:tc>
      </w:tr>
      <w:tr w:rsidR="00921365" w:rsidRPr="00085BD1" w:rsidTr="00143D11">
        <w:trPr>
          <w:trHeight w:val="31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220 983,6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3 353,2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66 564,8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99 636,7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51 428,9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160 866,6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2 885,2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50 101,3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72 687,2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35 192,9</w:t>
            </w:r>
          </w:p>
        </w:tc>
      </w:tr>
      <w:tr w:rsidR="00921365" w:rsidRPr="00085BD1" w:rsidTr="00143D11">
        <w:trPr>
          <w:trHeight w:val="21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160 866,6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2 885,2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50 101,3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72 687,2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35 192,9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54 972,9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15 149,5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24 433,4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14 922,0</w:t>
            </w:r>
          </w:p>
        </w:tc>
      </w:tr>
      <w:tr w:rsidR="00921365" w:rsidRPr="00085BD1" w:rsidTr="00143D11">
        <w:trPr>
          <w:trHeight w:val="26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54 972,9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15 149,5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24 433,4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14 922,0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5 144,1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2 516,1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</w:t>
            </w:r>
          </w:p>
        </w:tc>
      </w:tr>
      <w:tr w:rsidR="00921365" w:rsidRPr="00085BD1" w:rsidTr="00143D11">
        <w:trPr>
          <w:trHeight w:val="33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5 144,1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2 516,1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1 314,00</w:t>
            </w:r>
          </w:p>
        </w:tc>
      </w:tr>
      <w:tr w:rsidR="00921365" w:rsidRPr="00085BD1" w:rsidTr="00143D11">
        <w:trPr>
          <w:trHeight w:val="268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подпрограмме 2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554 654,0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85 506,2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91 717,8</w:t>
            </w:r>
          </w:p>
        </w:tc>
        <w:tc>
          <w:tcPr>
            <w:tcW w:w="1276" w:type="dxa"/>
            <w:hideMark/>
          </w:tcPr>
          <w:p w:rsidR="00921365" w:rsidRPr="00085BD1" w:rsidRDefault="00202E2E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182 603,1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106 464,3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88 362,6</w:t>
            </w:r>
          </w:p>
        </w:tc>
      </w:tr>
      <w:tr w:rsidR="00921365" w:rsidRPr="00085BD1" w:rsidTr="00143D11">
        <w:trPr>
          <w:trHeight w:val="23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554 654,0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85 506,2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91 717,8</w:t>
            </w:r>
          </w:p>
        </w:tc>
        <w:tc>
          <w:tcPr>
            <w:tcW w:w="1276" w:type="dxa"/>
            <w:hideMark/>
          </w:tcPr>
          <w:p w:rsidR="00921365" w:rsidRPr="00085BD1" w:rsidRDefault="00202E2E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182 603,1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106 464,3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88 362,6</w:t>
            </w:r>
          </w:p>
        </w:tc>
      </w:tr>
      <w:tr w:rsidR="00921365" w:rsidRPr="00085BD1" w:rsidTr="00143D11">
        <w:trPr>
          <w:trHeight w:val="176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143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3 «Развитие материально-технической базы сферы образования»</w:t>
            </w:r>
          </w:p>
        </w:tc>
      </w:tr>
      <w:tr w:rsidR="00921365" w:rsidRPr="00085BD1" w:rsidTr="00143D11">
        <w:trPr>
          <w:trHeight w:val="108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Строительство и реконструкция учреждений общего образования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нормативом обеспеченности местами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образовательных учреждениях                                              (показатели 1, 2)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34 497,3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15 072,7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13 765,9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34 497,3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15 072,7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13 765,9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17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34 497,3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15 072,7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13 765,9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троительство плоскостных сооружений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Сибирский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23 975,5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2 507,7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23 975,5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2 507,7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проектно-сметной документации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  <w:t>по объекту 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пристроем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п. Красноленинский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72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Ремонт двух пожарных резервуаров на объекте: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(55 учащ.) с группой для детей дошкольного возраста (25 воспит.)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дом культуры (на 100 мест)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(9100 экз.) в п. Боборовский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(1 этап:школа-детский сад)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технической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инвентаризации объекта: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группой для детей дошкольного возраста – сельский дом культуры (на 100 мест), библиотека (9100 экз.) в п. Бобровский (55 учащ. /25 воспитан.)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Проектно-изыскательские работы на проведение работ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модернизации противопожарного водопровода объекта: «МКОУ ХМР СОШ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Кышик»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исполнительному листу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Строительство и реконструкция дошкольных образовательных учреждений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для обеспечения в каждом муниципальном образовании автономного округа охвата дошк</w:t>
            </w:r>
            <w:r w:rsidR="0064768A">
              <w:rPr>
                <w:rFonts w:ascii="Times New Roman" w:hAnsi="Times New Roman" w:cs="Times New Roman"/>
                <w:sz w:val="18"/>
                <w:szCs w:val="18"/>
              </w:rPr>
              <w:t>ольным образованием не менее 70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% детей от 3 до 7 лет                                                                                 (показатель 1, 4, 14)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), 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130 691,7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111 611,7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28 875,3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28 875,3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101 816,4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82 736,4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2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98 505,2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79 425,2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3 311,2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3 311,2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пристроем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125 973,3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106 893,3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101 342,6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82 262,6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98 503,0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79 423,0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63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оборудованием и инвентарем объекта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пристроем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4 716,2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4 716,2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6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4 244,6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4 244,6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2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63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авторского надзора завершения строительства объекта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пристроем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7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0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пристроем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Луговской. Проведение экспертизы выполненной работы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присоединение к электрическим сетям объекта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пристроем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пристроем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25 воспитанников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«УКСиР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1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C84FF6">
        <w:trPr>
          <w:trHeight w:val="153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46 944,9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18 773,4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20 400,5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7 771,0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6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31 321,0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15 623,9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3 112,9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7 771,0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2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12 143,8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7 771,0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игрового оборудования в школах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монтаж игрового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в дошкольных учреждениях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06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оснащения объекта «Школа с группами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для детей дошкольного возраста (120 учащих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ся/60мест),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д. Ярки»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34 801,1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17 400,6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17 400,5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40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31 321,0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7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материально-технической базы МКОУ ХМР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Селиярово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19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3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212 133,9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136 043,8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46 662,1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29 428,0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34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60 196,3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44 535,8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151 937,6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91 508,0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31 001,6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29 428,0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9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9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145 146,3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86 456,7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29 261,6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29 428,0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24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6 791,3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33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C84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921365" w:rsidRPr="00085BD1" w:rsidTr="00C84FF6">
        <w:trPr>
          <w:trHeight w:val="5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Обеспечение реализации основных общеобразовательных программ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образовательных организациях,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расположенных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 (показатели 1, 2, 3, 4, 5, 10, 11, 12, 13, 14, 15, 16)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ные учреждения), администрация Ханты-Мансийского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(МКУ ХМР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6 186 570,4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1 276 109,7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1 315 184,1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1 290 306,1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1 310 215,5</w:t>
            </w:r>
          </w:p>
        </w:tc>
      </w:tr>
      <w:tr w:rsidR="00921365" w:rsidRPr="00085BD1" w:rsidTr="00C84FF6">
        <w:trPr>
          <w:trHeight w:val="25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144 587,8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12 872,9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C84FF6">
        <w:trPr>
          <w:trHeight w:val="42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6 040 677,1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1 262 771,3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1 271 784,3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1 245 751,5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1 265 615,0</w:t>
            </w:r>
          </w:p>
        </w:tc>
      </w:tr>
      <w:tr w:rsidR="00921365" w:rsidRPr="00085BD1" w:rsidTr="00C84FF6">
        <w:trPr>
          <w:trHeight w:val="12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C84FF6">
        <w:trPr>
          <w:trHeight w:val="16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C84FF6">
        <w:trPr>
          <w:trHeight w:val="17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9A4E43">
        <w:trPr>
          <w:trHeight w:val="8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5 752 949,4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962 524,3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1 226 075,7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1 194 544,0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</w:tr>
      <w:tr w:rsidR="00921365" w:rsidRPr="00085BD1" w:rsidTr="009A4E43">
        <w:trPr>
          <w:trHeight w:val="7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5 752 949,4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962 524,3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1 226 075,7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1 194 544,0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на выплату компенсации части родительской платы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за присмотр и уход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за детьми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26 228,0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26 228,0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C84FF6">
        <w:trPr>
          <w:trHeight w:val="16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9 104,0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9 104,0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4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Ханты-Мансийского района (МКУ ХМР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17 124,0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17 124,0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социальную поддержку отдельным категориям обучающихся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и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частных общеобразовательных организациях, осуществляющих образовательную деятельность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имеющим государственную аккредитацию основным образовательным программам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243 975,1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26 659,7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30 366,8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66 877,5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49 968,0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70 103,1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243 975,1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26 659,7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30 366,8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66 877,5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49 968,0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70 103,1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ежемесячное денежное вознаграждение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134 361,4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134 361,4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</w:tr>
      <w:tr w:rsidR="00921365" w:rsidRPr="00085BD1" w:rsidTr="00C84FF6">
        <w:trPr>
          <w:trHeight w:val="18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27 744,1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2 327,6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8 432,2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8 605,0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8 379,3</w:t>
            </w:r>
          </w:p>
        </w:tc>
      </w:tr>
      <w:tr w:rsidR="00921365" w:rsidRPr="00085BD1" w:rsidTr="00C84FF6">
        <w:trPr>
          <w:trHeight w:val="11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10 226,4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2 423,5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3 823,2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3 601,0</w:t>
            </w:r>
          </w:p>
        </w:tc>
      </w:tr>
      <w:tr w:rsidR="00921365" w:rsidRPr="00085BD1" w:rsidTr="00C84FF6">
        <w:trPr>
          <w:trHeight w:val="31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16 212,2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1 483,4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4 401,2</w:t>
            </w:r>
          </w:p>
        </w:tc>
      </w:tr>
      <w:tr w:rsidR="00921365" w:rsidRPr="00085BD1" w:rsidTr="00C84FF6">
        <w:trPr>
          <w:trHeight w:val="1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C84FF6">
        <w:trPr>
          <w:trHeight w:val="10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C84FF6">
        <w:trPr>
          <w:trHeight w:val="31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обеспечение начисления районного коэффициента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размера 70 процентов, установленного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Ханты-Мансийском автономном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округе – Югре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выплату ежемесячного денежного вознаграждения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за классное руководство педагогическим работникам государственных и муниципальных общеобразовательных организаций, предоставляемого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5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14)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637 004,9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142 263,7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156 693,5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116 091,7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</w:tr>
      <w:tr w:rsidR="00921365" w:rsidRPr="00085BD1" w:rsidTr="009A4E43">
        <w:trPr>
          <w:trHeight w:val="6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637 004,9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142 263,7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156 693,5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116 091,7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Энергосервисные контракты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C84FF6">
        <w:trPr>
          <w:trHeight w:val="261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Создание условий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удовлетворения потребности населения района в оказании услуг в учреждениях общего среднего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(показатель 1, 2)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1 176 650,9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259 585,8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225 114,4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205 238,4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221 869,9</w:t>
            </w:r>
          </w:p>
        </w:tc>
      </w:tr>
      <w:tr w:rsidR="00921365" w:rsidRPr="00085BD1" w:rsidTr="00C84FF6">
        <w:trPr>
          <w:trHeight w:val="42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1 176 650,9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259 585,8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225 114,4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205 238,4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221 869,9</w:t>
            </w:r>
          </w:p>
        </w:tc>
      </w:tr>
      <w:tr w:rsidR="00921365" w:rsidRPr="00085BD1" w:rsidTr="00C84FF6">
        <w:trPr>
          <w:trHeight w:val="1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1 176 650,9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259 585,8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225 114,4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205 238,4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221 869,9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1 167 817,1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257 237,5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223 325,5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202 890,1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219 521,6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1 167 817,1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257 237,5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223 325,5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202 890,1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219 521,6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Энергосервисные контракты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8 833,8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1 788,9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</w:tr>
      <w:tr w:rsidR="00921365" w:rsidRPr="00085BD1" w:rsidTr="00390A8F">
        <w:trPr>
          <w:trHeight w:val="29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8 833,8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1 788,9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</w:tr>
      <w:tr w:rsidR="00921365" w:rsidRPr="00085BD1" w:rsidTr="00390A8F">
        <w:trPr>
          <w:trHeight w:val="1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Создание условий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удовлетворения потребностей населения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463 189,3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79 970,3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89 333,9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96 111,5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97 313,6</w:t>
            </w:r>
          </w:p>
        </w:tc>
      </w:tr>
      <w:tr w:rsidR="00921365" w:rsidRPr="00085BD1" w:rsidTr="00390A8F">
        <w:trPr>
          <w:trHeight w:val="19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40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2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461 517,8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79 970,3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87 662,4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96 111,5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97 313,6</w:t>
            </w:r>
          </w:p>
        </w:tc>
      </w:tr>
      <w:tr w:rsidR="00921365" w:rsidRPr="00085BD1" w:rsidTr="00390A8F">
        <w:trPr>
          <w:trHeight w:val="1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461 382,3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79 970,3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87 526,9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96 111,5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97 313,6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84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удовлетворения потребностей населения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оказании услуг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сфере дополнительного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(содержание учреждения) в рамках муниципального задания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323 528,3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52 788,3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60 344,9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68 281,5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69 483,6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323 528,3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52 788,3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60 344,9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68 281,5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69 483,6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(показатель 6, 9)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(МАДОУ ХМР «Детский сад «Березка»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Горноправ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динск»)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9A4E43">
        <w:trPr>
          <w:trHeight w:val="6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(МАДОУ ХМР «Детский сад «Березка»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Горноправ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динск»)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135 910,0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</w:tr>
      <w:tr w:rsidR="00921365" w:rsidRPr="00085BD1" w:rsidTr="009A4E43">
        <w:trPr>
          <w:trHeight w:val="7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135 910,0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</w:tr>
      <w:tr w:rsidR="00921365" w:rsidRPr="00085BD1" w:rsidTr="009A4E43">
        <w:trPr>
          <w:trHeight w:val="7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программы персонифицированного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(МАДОУ ХМР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«Детский сад «Березка»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Горноправ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динск»)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1 944,0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</w:tr>
      <w:tr w:rsidR="00921365" w:rsidRPr="00085BD1" w:rsidTr="009A4E43">
        <w:trPr>
          <w:trHeight w:val="7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1 944,0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</w:tr>
      <w:tr w:rsidR="00921365" w:rsidRPr="00085BD1" w:rsidTr="00390A8F">
        <w:trPr>
          <w:trHeight w:val="138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мест дополнительного образования детей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регионального проекта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Успех каждого ребенка" национального проекта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6)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2 141,3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2 141,3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1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41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8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183 043,9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34 595,8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37 607,2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36 567,5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183 043,9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34 595,8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37 607,2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36 567,5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</w:tr>
      <w:tr w:rsidR="00921365" w:rsidRPr="00085BD1" w:rsidTr="009A4E43">
        <w:trPr>
          <w:trHeight w:val="34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400 223,6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9A4E43">
        <w:trPr>
          <w:trHeight w:val="27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400 223,6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153 227,6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4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153 227,6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Ханты-Мансийского района (МКУ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390A8F">
        <w:trPr>
          <w:trHeight w:val="30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390A8F">
        <w:trPr>
          <w:trHeight w:val="224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4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9 046 683,0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1 589 865,8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1 899 119,1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1 876 949,7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1 821 502,7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1 859 245,7</w:t>
            </w:r>
          </w:p>
        </w:tc>
      </w:tr>
      <w:tr w:rsidR="00921365" w:rsidRPr="00085BD1" w:rsidTr="00390A8F">
        <w:trPr>
          <w:trHeight w:val="12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390A8F">
        <w:trPr>
          <w:trHeight w:val="4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6 041 696,7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1 263 790,9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1 271 784,3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1 245 751,5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1 265 615,0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2 859 746,6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595 110,8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621 803,4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562 119,5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531 305,6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549 407,3</w:t>
            </w:r>
          </w:p>
        </w:tc>
      </w:tr>
      <w:tr w:rsidR="00921365" w:rsidRPr="00085BD1" w:rsidTr="00390A8F">
        <w:trPr>
          <w:trHeight w:val="12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34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2 858 305,6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595 110,8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621 202,4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561 765,6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531 196,6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549 030,2</w:t>
            </w:r>
          </w:p>
        </w:tc>
      </w:tr>
      <w:tr w:rsidR="00921365" w:rsidRPr="00085BD1" w:rsidTr="009A4E43">
        <w:trPr>
          <w:trHeight w:val="106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1 441,0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390A8F">
        <w:trPr>
          <w:trHeight w:val="78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33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390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5 «Дети и молодежь Ханты-Мансийского района»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Организация и участие в мероприятиях, направленных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выявление и развитие талантливых детей и молодежи                                               (показатели 7)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4 149,8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4 149,8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17)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2 911,2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2 911,2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</w:tr>
      <w:tr w:rsidR="00921365" w:rsidRPr="00085BD1" w:rsidTr="009A4E43">
        <w:trPr>
          <w:trHeight w:val="7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Организация отдыха и оздоровления детей                                                                 (показатель 18, 19)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ные учреждения), администрация Ханты-Мансийского района (отдел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культуре, спорту и социальной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политике, муниципальное 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49 306,6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11 916,4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18 695,1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18 695,1</w:t>
            </w:r>
          </w:p>
        </w:tc>
      </w:tr>
      <w:tr w:rsidR="00921365" w:rsidRPr="00085BD1" w:rsidTr="009A4E43">
        <w:trPr>
          <w:trHeight w:val="87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31 738,3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6 780,9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12 478,7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12 478,7</w:t>
            </w:r>
          </w:p>
        </w:tc>
      </w:tr>
      <w:tr w:rsidR="00921365" w:rsidRPr="00085BD1" w:rsidTr="009A4E43">
        <w:trPr>
          <w:trHeight w:val="6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17 568,3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5 135,5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6 216,4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6 216,4</w:t>
            </w:r>
          </w:p>
        </w:tc>
      </w:tr>
      <w:tr w:rsidR="00921365" w:rsidRPr="00085BD1" w:rsidTr="009A4E43">
        <w:trPr>
          <w:trHeight w:val="6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70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11 593,2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3 153,2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4 220,0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4 220,0</w:t>
            </w:r>
          </w:p>
        </w:tc>
      </w:tr>
      <w:tr w:rsidR="00921365" w:rsidRPr="00085BD1" w:rsidTr="009A4E43">
        <w:trPr>
          <w:trHeight w:val="14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1 982,3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</w:tr>
      <w:tr w:rsidR="00921365" w:rsidRPr="00085BD1" w:rsidTr="009A4E43">
        <w:trPr>
          <w:trHeight w:val="45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лагерей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дневным пребыванием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(подведомственные учреждения), администрация Ханты-Мансийского района (отдел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21 786,6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7 209,0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7 288,8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7 288,8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8 962,5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2 973,5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2 994,5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2 994,5</w:t>
            </w:r>
          </w:p>
        </w:tc>
      </w:tr>
      <w:tr w:rsidR="00921365" w:rsidRPr="00085BD1" w:rsidTr="009A4E43">
        <w:trPr>
          <w:trHeight w:val="34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12 824,1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4 235,5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4 294,3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4 294,3</w:t>
            </w: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6 849,0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2 253,2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2 297,9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2 297,9</w:t>
            </w:r>
          </w:p>
        </w:tc>
      </w:tr>
      <w:tr w:rsidR="00921365" w:rsidRPr="00085BD1" w:rsidTr="009A4E43">
        <w:trPr>
          <w:trHeight w:val="10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1 982,3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</w:tr>
      <w:tr w:rsidR="00921365" w:rsidRPr="00085BD1" w:rsidTr="009A4E43">
        <w:trPr>
          <w:trHeight w:val="64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5.3.1.1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лагерей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1 381,5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493,3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1 381,5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493,3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</w:tr>
      <w:tr w:rsidR="00921365" w:rsidRPr="00085BD1" w:rsidTr="00390A8F">
        <w:trPr>
          <w:trHeight w:val="183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5.3.1.2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питания детей в возрасте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от 6 до 17 лет (включительно)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лагерях с дневным пребыванием детей,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от 8 до 17 лет (включительно) –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палаточных лагерях,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от 14 до 17 лет (включительно) –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лагерях труда и отдыха с дневным пребыванием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18 288,6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6 010,2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6 139,2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6 139,2</w:t>
            </w:r>
          </w:p>
        </w:tc>
      </w:tr>
      <w:tr w:rsidR="00921365" w:rsidRPr="00085BD1" w:rsidTr="00390A8F">
        <w:trPr>
          <w:trHeight w:val="3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7 692,6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2 550,2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2 571,2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2 571,2</w:t>
            </w:r>
          </w:p>
        </w:tc>
      </w:tr>
      <w:tr w:rsidR="00921365" w:rsidRPr="00085BD1" w:rsidTr="00390A8F">
        <w:trPr>
          <w:trHeight w:val="24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3 568,0</w:t>
            </w:r>
          </w:p>
        </w:tc>
      </w:tr>
      <w:tr w:rsidR="00921365" w:rsidRPr="00085BD1" w:rsidTr="00390A8F">
        <w:trPr>
          <w:trHeight w:val="25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5 467,5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1 759,9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1 853,8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1 853,8</w:t>
            </w:r>
          </w:p>
        </w:tc>
      </w:tr>
      <w:tr w:rsidR="00921365" w:rsidRPr="00085BD1" w:rsidTr="009A4E43">
        <w:trPr>
          <w:trHeight w:val="12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5 128,5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1 700,1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1 714,2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1 714,2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Ханты-Мансийского района (отдел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2 116,5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1 269,9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3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аккарицидной, дезинсекционной (ларвицидной) обработки, барьерной дератизации, а также сбор и утилизация трупов животных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9A4E43">
        <w:trPr>
          <w:trHeight w:val="8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390A8F">
        <w:trPr>
          <w:trHeight w:val="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автономного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округа – Югры 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климатически благоприятных регионах Российской Федерации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16 547,5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2 686,5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6 930,5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6 930,5</w:t>
            </w:r>
          </w:p>
        </w:tc>
      </w:tr>
      <w:tr w:rsidR="00921365" w:rsidRPr="00085BD1" w:rsidTr="00390A8F">
        <w:trPr>
          <w:trHeight w:val="2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12 703,3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2 686,5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5 008,4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3 844,2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</w:tr>
      <w:tr w:rsidR="00921365" w:rsidRPr="00085BD1" w:rsidTr="00390A8F">
        <w:trPr>
          <w:trHeight w:val="1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2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3 844,2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</w:tr>
      <w:tr w:rsidR="00921365" w:rsidRPr="00085BD1" w:rsidTr="009A4E43">
        <w:trPr>
          <w:trHeight w:val="12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63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Содействие профориентации и карьерным устремлениям молодежи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(показатель 8)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ные учреждения), администрация Ханты-Мансийского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9 611,9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9 271,9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9A4E43">
        <w:trPr>
          <w:trHeight w:val="14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9 611,9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9 271,9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390A8F">
        <w:trPr>
          <w:trHeight w:val="19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5.4.1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экологических трудовых отрядов</w:t>
            </w:r>
          </w:p>
        </w:tc>
        <w:tc>
          <w:tcPr>
            <w:tcW w:w="1617" w:type="dxa"/>
            <w:vMerge w:val="restart"/>
            <w:shd w:val="clear" w:color="auto" w:fill="auto"/>
            <w:noWrap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2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7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70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7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5.4.2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9A4E43">
        <w:trPr>
          <w:trHeight w:val="3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9A4E43">
        <w:trPr>
          <w:trHeight w:val="202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Оказание мер социальной поддержки отдельным категориям граждан         (показатели 18, 20)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(отдел опеки и попечительства), департамент имущественных и земельных отношений, 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(отдел организационного обеспечения деятельности муниципальных комиссий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делам несовершеннолетних и защите их прав)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193 823,3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60 826,6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65 472,4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67 524,3</w:t>
            </w:r>
          </w:p>
        </w:tc>
      </w:tr>
      <w:tr w:rsidR="00921365" w:rsidRPr="00085BD1" w:rsidTr="009A4E43">
        <w:trPr>
          <w:trHeight w:val="17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193 823,3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60 826,6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65 472,4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67 524,3</w:t>
            </w:r>
          </w:p>
        </w:tc>
      </w:tr>
      <w:tr w:rsidR="00921365" w:rsidRPr="00085BD1" w:rsidTr="009A4E43">
        <w:trPr>
          <w:trHeight w:val="72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гарантии и дополнительные меры социальной поддержки детей-сирот и детей, оставшихся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(отдел опеки и попечительства)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79 764,8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24 752,7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26 480,1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28 532,0</w:t>
            </w:r>
          </w:p>
        </w:tc>
      </w:tr>
      <w:tr w:rsidR="00921365" w:rsidRPr="00085BD1" w:rsidTr="009A4E43">
        <w:trPr>
          <w:trHeight w:val="7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79 764,8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24 752,7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26 480,1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28 532,0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5.5.2.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по опеке и попечительству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35 622,1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11 208,3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35 622,1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11 208,3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</w:tr>
      <w:tr w:rsidR="00921365" w:rsidRPr="00085BD1" w:rsidTr="009A4E43">
        <w:trPr>
          <w:trHeight w:val="94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жилых помещений детям-сиротам и детям, оставшимся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без попечения родителей, лицам из их числа по договорам найма специализированных жилых помещений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подпрограммы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Поддержка семьи, материнства и детства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Социальное и демографическое развитие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бюджета автономного округа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9A4E43">
        <w:trPr>
          <w:trHeight w:val="12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9A4E43">
        <w:trPr>
          <w:trHeight w:val="10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5.5.4.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полномочий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(отдел организационно</w:t>
            </w:r>
            <w:r w:rsidR="00647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го обеспечения деятельности муниципальных комиссий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делам несовершенно</w:t>
            </w:r>
            <w:r w:rsidR="00647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летних и защите их прав)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9A4E43">
        <w:trPr>
          <w:trHeight w:val="10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390A8F">
        <w:trPr>
          <w:trHeight w:val="169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5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259 802,8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83 105,5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87 322,7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89 374,6</w:t>
            </w:r>
          </w:p>
        </w:tc>
      </w:tr>
      <w:tr w:rsidR="00921365" w:rsidRPr="00085BD1" w:rsidTr="00390A8F">
        <w:trPr>
          <w:trHeight w:val="37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225 561,6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67 607,5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77 951,1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80 003,0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34 241,2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15 498,0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9 371,6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9 371,6</w:t>
            </w:r>
          </w:p>
        </w:tc>
      </w:tr>
      <w:tr w:rsidR="00921365" w:rsidRPr="00085BD1" w:rsidTr="00390A8F">
        <w:trPr>
          <w:trHeight w:val="8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4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28 266,1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13 515,7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7 375,2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7 375,2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1 982,3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</w:tr>
      <w:tr w:rsidR="00921365" w:rsidRPr="00085BD1" w:rsidTr="00390A8F">
        <w:trPr>
          <w:trHeight w:val="130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10 083 348,3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1 814 202,1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2 039 685,3</w:t>
            </w:r>
          </w:p>
        </w:tc>
        <w:tc>
          <w:tcPr>
            <w:tcW w:w="1276" w:type="dxa"/>
            <w:hideMark/>
          </w:tcPr>
          <w:p w:rsidR="00921365" w:rsidRPr="00085BD1" w:rsidRDefault="00904B5A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2 173 570,7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2 017 098,5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2 038 791,7</w:t>
            </w:r>
          </w:p>
        </w:tc>
      </w:tr>
      <w:tr w:rsidR="00921365" w:rsidRPr="00085BD1" w:rsidTr="00390A8F">
        <w:trPr>
          <w:trHeight w:val="19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390A8F">
        <w:trPr>
          <w:trHeight w:val="39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6 327 454,6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1 039 290,8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1 279 451,4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1 339 391,8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1 323 702,6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1 345 618,0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3 610 654,0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774 911,3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746 709,1</w:t>
            </w:r>
          </w:p>
        </w:tc>
        <w:tc>
          <w:tcPr>
            <w:tcW w:w="1276" w:type="dxa"/>
            <w:hideMark/>
          </w:tcPr>
          <w:p w:rsidR="00921365" w:rsidRPr="00085BD1" w:rsidRDefault="00904B5A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791 133,0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</w:tr>
      <w:tr w:rsidR="00921365" w:rsidRPr="00085BD1" w:rsidTr="00390A8F">
        <w:trPr>
          <w:trHeight w:val="12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32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3 596 446,6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769 860,0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744 368,1</w:t>
            </w:r>
          </w:p>
        </w:tc>
        <w:tc>
          <w:tcPr>
            <w:tcW w:w="1276" w:type="dxa"/>
            <w:hideMark/>
          </w:tcPr>
          <w:p w:rsidR="00921365" w:rsidRPr="00085BD1" w:rsidRDefault="00904B5A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788 796,8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646 844,9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646 576,8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14 207,4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2 336,2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2 105,4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2 373,5</w:t>
            </w:r>
          </w:p>
        </w:tc>
      </w:tr>
      <w:tr w:rsidR="00921365" w:rsidRPr="00085BD1" w:rsidTr="00390A8F">
        <w:trPr>
          <w:trHeight w:val="884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31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217,5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134 517,8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25 042,8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656,9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34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44 535,8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44 535,8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C12963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136 681,7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89 982,0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25 042,8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656,9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39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C12963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630,4</w:t>
            </w:r>
          </w:p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84 930,7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25 042,8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656,9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17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9 902 1</w:t>
            </w:r>
            <w:r w:rsidR="00E52CE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1 679 684,3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2 014 642,5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2 151 9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2 017 098,5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2 038 791,7</w:t>
            </w:r>
          </w:p>
        </w:tc>
      </w:tr>
      <w:tr w:rsidR="00921365" w:rsidRPr="00085BD1" w:rsidTr="00390A8F">
        <w:trPr>
          <w:trHeight w:val="17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9A4E43">
        <w:trPr>
          <w:trHeight w:val="5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6 282 918,8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1 279 451,4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1 339 391,8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1 323 702,6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1 345 618,0</w:t>
            </w:r>
          </w:p>
        </w:tc>
      </w:tr>
      <w:tr w:rsidR="00921365" w:rsidRPr="00085BD1" w:rsidTr="00390A8F">
        <w:trPr>
          <w:trHeight w:val="12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3 47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3972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684 929,3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721 666,3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769 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</w:tr>
      <w:tr w:rsidR="00921365" w:rsidRPr="00085BD1" w:rsidTr="00390A8F">
        <w:trPr>
          <w:trHeight w:val="20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1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3 464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684 929,3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719 325,3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767 1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646 844,9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646 576,8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9 156,1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2 341,0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2 336,2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2 105,4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2 373,5</w:t>
            </w:r>
          </w:p>
        </w:tc>
      </w:tr>
      <w:tr w:rsidR="00921365" w:rsidRPr="00085BD1" w:rsidTr="00390A8F">
        <w:trPr>
          <w:trHeight w:val="822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12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(комитет по образованию администрации Ханты-Мансийского райо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на (подведомственные учреждения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9 118 965,7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1 619 718,9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1 927 897,6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1 890 358,3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1 830 674,8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1 850 316,1</w:t>
            </w:r>
          </w:p>
        </w:tc>
      </w:tr>
      <w:tr w:rsidR="00921365" w:rsidRPr="00085BD1" w:rsidTr="00390A8F">
        <w:trPr>
          <w:trHeight w:val="18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390A8F">
        <w:trPr>
          <w:trHeight w:val="40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6 080 534,2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1 014 660,1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1 279 451,4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1 272 313,0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1 247 123,1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1 266 986,6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2 893 191,8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605 058,8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634 921,4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574 999,4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539 106,1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539 106,1</w:t>
            </w:r>
          </w:p>
        </w:tc>
      </w:tr>
      <w:tr w:rsidR="00921365" w:rsidRPr="00085BD1" w:rsidTr="00390A8F">
        <w:trPr>
          <w:trHeight w:val="25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1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2 882 670,6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602 847,1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632 580,4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572 945,4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537 282,9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537 014,8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10 521,2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2 211,7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2 341,0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2 054,0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1 823,2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2 091,3</w:t>
            </w:r>
          </w:p>
        </w:tc>
      </w:tr>
      <w:tr w:rsidR="00921365" w:rsidRPr="00085BD1" w:rsidTr="00390A8F">
        <w:trPr>
          <w:trHeight w:val="83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28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346 339,5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167 301,2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84 605,7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94 432,6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32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9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321 708,8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142 670,5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84 605,7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94 432,6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5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2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318 869,2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139 830,9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84 605,7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94 432,6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30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2 (департамент строительства, архитектуры и ЖКХ)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D03219">
        <w:trPr>
          <w:trHeight w:val="47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D03219">
        <w:trPr>
          <w:trHeight w:val="139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3 (комитет по образованию (МАДОУ ХМР «Детский с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ад «Березка» п. Горноправдинск»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D03219">
        <w:trPr>
          <w:trHeight w:val="19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D03219">
        <w:trPr>
          <w:trHeight w:val="117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4 (администрация Ханты-Мансийского района (отдел по культуре, спорту и социальной поли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тике, муниципальное автономное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 «Спортивная ш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  <w:t>Ханты-Мансийского района»)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2 116,5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</w:tr>
      <w:tr w:rsidR="00921365" w:rsidRPr="00085BD1" w:rsidTr="00D03219">
        <w:trPr>
          <w:trHeight w:val="33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1 269,9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D03219">
        <w:trPr>
          <w:trHeight w:val="18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27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D03219">
        <w:trPr>
          <w:trHeight w:val="104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5 (администрация Ханты-Мансийского района (комитет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по финансам, сельские поселения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D03219">
        <w:trPr>
          <w:trHeight w:val="17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низационно-методический центр»)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D03219">
        <w:trPr>
          <w:trHeight w:val="161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7 (администрация Ханты-Мансийского района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 (отдел опеки и попечительства)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115 386,9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35 961,0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38 687,0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40 738,9</w:t>
            </w:r>
          </w:p>
        </w:tc>
      </w:tr>
      <w:tr w:rsidR="00921365" w:rsidRPr="00085BD1" w:rsidTr="00D03219">
        <w:trPr>
          <w:trHeight w:val="36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115 386,9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35 961,0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38 687,0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40 738,9</w:t>
            </w:r>
          </w:p>
        </w:tc>
      </w:tr>
      <w:tr w:rsidR="00921365" w:rsidRPr="00085BD1" w:rsidTr="00D03219">
        <w:trPr>
          <w:trHeight w:val="228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D03219">
        <w:trPr>
          <w:trHeight w:val="4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ершеннолетних и защите их прав)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9A4E43">
        <w:trPr>
          <w:trHeight w:val="5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D03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10 (администрация Ханты-Мансийского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(МКУ ХМР «ЦБ»)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264 120,0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88 240,0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87 940,0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87 940,0</w:t>
            </w:r>
          </w:p>
        </w:tc>
      </w:tr>
      <w:tr w:rsidR="00921365" w:rsidRPr="00085BD1" w:rsidTr="009A4E43">
        <w:trPr>
          <w:trHeight w:val="5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17 124,0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D03219">
        <w:trPr>
          <w:trHeight w:val="13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D03219">
        <w:trPr>
          <w:trHeight w:val="384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софинансирование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939D2" w:rsidRDefault="00E939D2" w:rsidP="00D03219">
      <w:pPr>
        <w:rPr>
          <w:rFonts w:ascii="Times New Roman" w:hAnsi="Times New Roman" w:cs="Times New Roman"/>
          <w:sz w:val="28"/>
          <w:szCs w:val="28"/>
        </w:rPr>
      </w:pPr>
    </w:p>
    <w:p w:rsidR="00F67F97" w:rsidRDefault="00F67F97" w:rsidP="00D03219">
      <w:pPr>
        <w:rPr>
          <w:rFonts w:ascii="Times New Roman" w:hAnsi="Times New Roman" w:cs="Times New Roman"/>
          <w:sz w:val="28"/>
          <w:szCs w:val="28"/>
        </w:rPr>
      </w:pPr>
    </w:p>
    <w:p w:rsidR="00F67F97" w:rsidRDefault="00F67F97" w:rsidP="00D03219">
      <w:pPr>
        <w:rPr>
          <w:rFonts w:ascii="Times New Roman" w:hAnsi="Times New Roman" w:cs="Times New Roman"/>
          <w:sz w:val="28"/>
          <w:szCs w:val="28"/>
        </w:rPr>
      </w:pPr>
    </w:p>
    <w:p w:rsidR="00F67F97" w:rsidRDefault="00F67F97" w:rsidP="00D03219">
      <w:pPr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F67F97" w:rsidRPr="0020792D" w:rsidRDefault="00F67F97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14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D03219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D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D03219">
            <w:pPr>
              <w:widowControl/>
              <w:tabs>
                <w:tab w:val="left" w:pos="7237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39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приносящей доход деятельности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934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«Содействие занятости женщин </w:t>
            </w:r>
            <w:r w:rsidR="006476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D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МКОУ ХМР «СОШ им. Героя Советского Союза П.А. Бабичева п. Выкатной», МКОУ ХМР СОШ д. Шапша,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А.С. Макшанцева п. Кедровый»</w:t>
            </w:r>
          </w:p>
          <w:p w:rsidR="00114B1A" w:rsidRPr="002D77C0" w:rsidRDefault="00114B1A" w:rsidP="00D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D03219" w:rsidRDefault="00114B1A" w:rsidP="00D0321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1.1. «Создание Ресурсного центра – детский технопарк «Мини-Кванториум» Ханты-Мансийского района </w:t>
            </w:r>
            <w:r w:rsid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базе МБУ ДО ХМР»</w:t>
            </w:r>
          </w:p>
          <w:p w:rsidR="00114B1A" w:rsidRPr="002D77C0" w:rsidRDefault="00114B1A" w:rsidP="00D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7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7F97" w:rsidRDefault="00F67F97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7F97" w:rsidRDefault="00F67F97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7F97" w:rsidRDefault="00F67F97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Наименование показателя объема (единицы </w:t>
            </w:r>
            <w:r w:rsidRPr="0020792D">
              <w:rPr>
                <w:szCs w:val="24"/>
              </w:rPr>
              <w:lastRenderedPageBreak/>
              <w:t>измерения) муниципаль</w:t>
            </w:r>
            <w:r w:rsidR="00D03219">
              <w:rPr>
                <w:szCs w:val="24"/>
              </w:rPr>
              <w:t>-</w:t>
            </w:r>
            <w:r w:rsidRPr="0020792D">
              <w:rPr>
                <w:szCs w:val="24"/>
              </w:rPr>
              <w:t>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Значение показателя на момент окончания реализации </w:t>
            </w:r>
            <w:r w:rsidRPr="0020792D">
              <w:rPr>
                <w:szCs w:val="24"/>
              </w:rPr>
              <w:lastRenderedPageBreak/>
              <w:t>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085BD1" w:rsidRDefault="00085BD1" w:rsidP="00D03219">
      <w:pPr>
        <w:pStyle w:val="ConsPlusNormal"/>
        <w:outlineLvl w:val="2"/>
        <w:rPr>
          <w:sz w:val="28"/>
          <w:szCs w:val="28"/>
        </w:rPr>
      </w:pPr>
    </w:p>
    <w:p w:rsidR="00F67F97" w:rsidRDefault="00F67F97" w:rsidP="00D03219">
      <w:pPr>
        <w:pStyle w:val="ConsPlusNormal"/>
        <w:outlineLvl w:val="2"/>
        <w:rPr>
          <w:sz w:val="28"/>
          <w:szCs w:val="28"/>
        </w:rPr>
      </w:pPr>
    </w:p>
    <w:p w:rsidR="00F67F97" w:rsidRDefault="00F67F97" w:rsidP="00D03219">
      <w:pPr>
        <w:pStyle w:val="ConsPlusNormal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 xml:space="preserve">Разработка проектно-сметной документации </w:t>
            </w:r>
            <w:r w:rsidR="00D03219">
              <w:rPr>
                <w:szCs w:val="24"/>
              </w:rPr>
              <w:br/>
            </w:r>
            <w:r w:rsidRPr="0020792D">
              <w:rPr>
                <w:szCs w:val="24"/>
              </w:rPr>
              <w:t>на строительство</w:t>
            </w:r>
            <w:r w:rsidR="00D03219">
              <w:rPr>
                <w:szCs w:val="24"/>
              </w:rPr>
              <w:t xml:space="preserve"> </w:t>
            </w:r>
            <w:r w:rsidR="003E3F7F" w:rsidRPr="0020792D">
              <w:t xml:space="preserve">плоскостных сооружений </w:t>
            </w:r>
            <w:r w:rsidR="00D03219">
              <w:br/>
            </w:r>
            <w:r w:rsidR="003E3F7F" w:rsidRPr="0020792D">
              <w:t>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25 воспитанников </w:t>
            </w:r>
            <w:r w:rsidR="00D03219">
              <w:rPr>
                <w:color w:val="000000"/>
                <w:szCs w:val="24"/>
                <w:lang w:eastAsia="ru-RU"/>
              </w:rPr>
              <w:br/>
            </w:r>
            <w:r w:rsidRPr="0020792D">
              <w:rPr>
                <w:color w:val="000000"/>
                <w:szCs w:val="24"/>
                <w:lang w:eastAsia="ru-RU"/>
              </w:rPr>
              <w:t>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D03219">
              <w:rPr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85BD1" w:rsidRDefault="00085BD1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67F97" w:rsidRDefault="00F67F97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F67F97" w:rsidRPr="0020792D" w:rsidRDefault="00F67F97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 xml:space="preserve">Меры, направленные </w:t>
            </w:r>
            <w:r w:rsidR="00D03219">
              <w:rPr>
                <w:rFonts w:ascii="Times New Roman" w:hAnsi="Times New Roman" w:cs="Times New Roman"/>
                <w:szCs w:val="28"/>
              </w:rPr>
              <w:br/>
            </w:r>
            <w:r w:rsidRPr="0020792D">
              <w:rPr>
                <w:rFonts w:ascii="Times New Roman" w:hAnsi="Times New Roman" w:cs="Times New Roman"/>
                <w:szCs w:val="28"/>
              </w:rPr>
              <w:t xml:space="preserve">на достижение значений (уровней)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 xml:space="preserve">Наименование портфеля проектов, основанного </w:t>
            </w:r>
            <w:r w:rsidR="00D03219">
              <w:rPr>
                <w:rFonts w:ascii="Times New Roman" w:hAnsi="Times New Roman" w:cs="Times New Roman"/>
                <w:szCs w:val="28"/>
              </w:rPr>
              <w:br/>
            </w:r>
            <w:r w:rsidRPr="0020792D">
              <w:rPr>
                <w:rFonts w:ascii="Times New Roman" w:hAnsi="Times New Roman" w:cs="Times New Roman"/>
                <w:szCs w:val="28"/>
              </w:rPr>
              <w:t>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 xml:space="preserve">х проектах </w:t>
            </w:r>
            <w:r w:rsidR="00DA75B8">
              <w:rPr>
                <w:rFonts w:ascii="Times New Roman" w:hAnsi="Times New Roman" w:cs="Times New Roman"/>
                <w:szCs w:val="28"/>
              </w:rPr>
              <w:lastRenderedPageBreak/>
              <w:t>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64768A" w:rsidRDefault="005B187E" w:rsidP="0064768A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64768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D0321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D0321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D03219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D0321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64768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75A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768A">
        <w:rPr>
          <w:rFonts w:ascii="Times New Roman" w:hAnsi="Times New Roman" w:cs="Times New Roman"/>
          <w:sz w:val="28"/>
          <w:szCs w:val="28"/>
        </w:rPr>
        <w:br/>
        <w:t>по социальным вопросам.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D03219" w:rsidRDefault="00D03219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8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68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94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03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E712E0" w:rsidSect="006D64AB">
      <w:headerReference w:type="even" r:id="rId52"/>
      <w:headerReference w:type="default" r:id="rId53"/>
      <w:headerReference w:type="first" r:id="rId5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8F" w:rsidRDefault="00390A8F">
      <w:r>
        <w:separator/>
      </w:r>
    </w:p>
  </w:endnote>
  <w:endnote w:type="continuationSeparator" w:id="0">
    <w:p w:rsidR="00390A8F" w:rsidRDefault="003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8F" w:rsidRDefault="00390A8F">
      <w:r>
        <w:separator/>
      </w:r>
    </w:p>
  </w:footnote>
  <w:footnote w:type="continuationSeparator" w:id="0">
    <w:p w:rsidR="00390A8F" w:rsidRDefault="0039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390A8F" w:rsidRPr="001E27FF" w:rsidRDefault="00390A8F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F8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F" w:rsidRDefault="00390A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F" w:rsidRPr="00DA75B8" w:rsidRDefault="00390A8F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0D413C">
      <w:rPr>
        <w:rFonts w:ascii="Times New Roman" w:hAnsi="Times New Roman" w:cs="Times New Roman"/>
        <w:noProof/>
      </w:rPr>
      <w:t>57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F" w:rsidRDefault="00390A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6122"/>
    <w:rsid w:val="0002781A"/>
    <w:rsid w:val="000308A8"/>
    <w:rsid w:val="00031391"/>
    <w:rsid w:val="000364F1"/>
    <w:rsid w:val="000376AF"/>
    <w:rsid w:val="000416CF"/>
    <w:rsid w:val="00041C04"/>
    <w:rsid w:val="00042D77"/>
    <w:rsid w:val="0004526E"/>
    <w:rsid w:val="0005014D"/>
    <w:rsid w:val="00051F29"/>
    <w:rsid w:val="00052BB6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5BD1"/>
    <w:rsid w:val="00087BD8"/>
    <w:rsid w:val="00091C5A"/>
    <w:rsid w:val="00094D48"/>
    <w:rsid w:val="000968CC"/>
    <w:rsid w:val="00096A9D"/>
    <w:rsid w:val="0009784A"/>
    <w:rsid w:val="000A17BF"/>
    <w:rsid w:val="000A1A9E"/>
    <w:rsid w:val="000A3409"/>
    <w:rsid w:val="000A4316"/>
    <w:rsid w:val="000A693B"/>
    <w:rsid w:val="000A79F4"/>
    <w:rsid w:val="000B06A7"/>
    <w:rsid w:val="000B2907"/>
    <w:rsid w:val="000B6367"/>
    <w:rsid w:val="000C06D7"/>
    <w:rsid w:val="000C093D"/>
    <w:rsid w:val="000C1309"/>
    <w:rsid w:val="000C1CAC"/>
    <w:rsid w:val="000C1DC1"/>
    <w:rsid w:val="000C2D43"/>
    <w:rsid w:val="000C45DF"/>
    <w:rsid w:val="000C5E39"/>
    <w:rsid w:val="000C771C"/>
    <w:rsid w:val="000D1DF2"/>
    <w:rsid w:val="000D26C0"/>
    <w:rsid w:val="000D413C"/>
    <w:rsid w:val="000E0EFE"/>
    <w:rsid w:val="000E20A5"/>
    <w:rsid w:val="000E213B"/>
    <w:rsid w:val="000E34B2"/>
    <w:rsid w:val="000E71D5"/>
    <w:rsid w:val="000F00BF"/>
    <w:rsid w:val="000F044D"/>
    <w:rsid w:val="000F2BEC"/>
    <w:rsid w:val="000F2CB1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44E4"/>
    <w:rsid w:val="001250DD"/>
    <w:rsid w:val="00127B36"/>
    <w:rsid w:val="00136445"/>
    <w:rsid w:val="00141A62"/>
    <w:rsid w:val="00143D11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0C4E"/>
    <w:rsid w:val="001D1796"/>
    <w:rsid w:val="001D378B"/>
    <w:rsid w:val="001D3BCC"/>
    <w:rsid w:val="001D3D37"/>
    <w:rsid w:val="001D77AE"/>
    <w:rsid w:val="001E0AA2"/>
    <w:rsid w:val="001E1B00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2E2E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33"/>
    <w:rsid w:val="002330D2"/>
    <w:rsid w:val="00233F1A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5EB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B7B96"/>
    <w:rsid w:val="002C3CF8"/>
    <w:rsid w:val="002C65BF"/>
    <w:rsid w:val="002C6CDE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221B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7F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60F9"/>
    <w:rsid w:val="0038716E"/>
    <w:rsid w:val="00390A1E"/>
    <w:rsid w:val="00390A8F"/>
    <w:rsid w:val="003925E3"/>
    <w:rsid w:val="003A1EDA"/>
    <w:rsid w:val="003A22FF"/>
    <w:rsid w:val="003A2D4B"/>
    <w:rsid w:val="003A583E"/>
    <w:rsid w:val="003A7BB2"/>
    <w:rsid w:val="003B3991"/>
    <w:rsid w:val="003B5F0A"/>
    <w:rsid w:val="003B6DF2"/>
    <w:rsid w:val="003B73FC"/>
    <w:rsid w:val="003C0FE6"/>
    <w:rsid w:val="003C4305"/>
    <w:rsid w:val="003D0B3D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215B"/>
    <w:rsid w:val="00403B5B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2DCD"/>
    <w:rsid w:val="004336EB"/>
    <w:rsid w:val="0043379F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A6CBD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17DE4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36954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2DB"/>
    <w:rsid w:val="00573DD9"/>
    <w:rsid w:val="005747E5"/>
    <w:rsid w:val="00576B77"/>
    <w:rsid w:val="005818BF"/>
    <w:rsid w:val="00585B4F"/>
    <w:rsid w:val="00587F52"/>
    <w:rsid w:val="005A028C"/>
    <w:rsid w:val="005A4EA7"/>
    <w:rsid w:val="005A616E"/>
    <w:rsid w:val="005A7B1C"/>
    <w:rsid w:val="005B0A17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2BB2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68A"/>
    <w:rsid w:val="00647A4A"/>
    <w:rsid w:val="00651266"/>
    <w:rsid w:val="00651958"/>
    <w:rsid w:val="00651C6C"/>
    <w:rsid w:val="00661473"/>
    <w:rsid w:val="006624E9"/>
    <w:rsid w:val="00664C04"/>
    <w:rsid w:val="006659BB"/>
    <w:rsid w:val="00665D16"/>
    <w:rsid w:val="00666704"/>
    <w:rsid w:val="00666F1F"/>
    <w:rsid w:val="006755CB"/>
    <w:rsid w:val="0067741A"/>
    <w:rsid w:val="00680F8C"/>
    <w:rsid w:val="00683152"/>
    <w:rsid w:val="00685B79"/>
    <w:rsid w:val="00687167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01CE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0309"/>
    <w:rsid w:val="006E3F3D"/>
    <w:rsid w:val="006E4F76"/>
    <w:rsid w:val="006E517A"/>
    <w:rsid w:val="006F04ED"/>
    <w:rsid w:val="006F1550"/>
    <w:rsid w:val="006F4BA2"/>
    <w:rsid w:val="007010F2"/>
    <w:rsid w:val="00702C4E"/>
    <w:rsid w:val="00704770"/>
    <w:rsid w:val="0070546F"/>
    <w:rsid w:val="007068D1"/>
    <w:rsid w:val="007129CE"/>
    <w:rsid w:val="00713D70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0EA8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7A6"/>
    <w:rsid w:val="00787BFA"/>
    <w:rsid w:val="0079146A"/>
    <w:rsid w:val="00791EF3"/>
    <w:rsid w:val="00794F1A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C727F"/>
    <w:rsid w:val="007D3C25"/>
    <w:rsid w:val="007D53ED"/>
    <w:rsid w:val="007D5A24"/>
    <w:rsid w:val="007D66B6"/>
    <w:rsid w:val="007E1E8E"/>
    <w:rsid w:val="007E3A08"/>
    <w:rsid w:val="007E44B7"/>
    <w:rsid w:val="007E4DF1"/>
    <w:rsid w:val="007E5933"/>
    <w:rsid w:val="007E59CA"/>
    <w:rsid w:val="007E5DE5"/>
    <w:rsid w:val="007E68F2"/>
    <w:rsid w:val="007E6A95"/>
    <w:rsid w:val="007E7536"/>
    <w:rsid w:val="007E7A7B"/>
    <w:rsid w:val="007F59A0"/>
    <w:rsid w:val="008013E2"/>
    <w:rsid w:val="00804749"/>
    <w:rsid w:val="00805990"/>
    <w:rsid w:val="008141DA"/>
    <w:rsid w:val="00814367"/>
    <w:rsid w:val="008154A9"/>
    <w:rsid w:val="00815522"/>
    <w:rsid w:val="00825E5B"/>
    <w:rsid w:val="008271B6"/>
    <w:rsid w:val="00827994"/>
    <w:rsid w:val="00830779"/>
    <w:rsid w:val="00833B9D"/>
    <w:rsid w:val="00833F4F"/>
    <w:rsid w:val="00835930"/>
    <w:rsid w:val="00837960"/>
    <w:rsid w:val="00842DEB"/>
    <w:rsid w:val="00843F3F"/>
    <w:rsid w:val="008446FE"/>
    <w:rsid w:val="00846597"/>
    <w:rsid w:val="008537CE"/>
    <w:rsid w:val="00857C17"/>
    <w:rsid w:val="00861092"/>
    <w:rsid w:val="00861BEA"/>
    <w:rsid w:val="00864591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226B"/>
    <w:rsid w:val="008845E2"/>
    <w:rsid w:val="008848C5"/>
    <w:rsid w:val="00886320"/>
    <w:rsid w:val="00887720"/>
    <w:rsid w:val="008950E5"/>
    <w:rsid w:val="008A583D"/>
    <w:rsid w:val="008A6296"/>
    <w:rsid w:val="008A7469"/>
    <w:rsid w:val="008B1329"/>
    <w:rsid w:val="008B30AC"/>
    <w:rsid w:val="008B4DBE"/>
    <w:rsid w:val="008C247A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2852"/>
    <w:rsid w:val="008F3B70"/>
    <w:rsid w:val="008F3F8E"/>
    <w:rsid w:val="008F4167"/>
    <w:rsid w:val="00900847"/>
    <w:rsid w:val="00903101"/>
    <w:rsid w:val="009035DF"/>
    <w:rsid w:val="009047C0"/>
    <w:rsid w:val="00904B5A"/>
    <w:rsid w:val="0090583E"/>
    <w:rsid w:val="00907153"/>
    <w:rsid w:val="00913CE6"/>
    <w:rsid w:val="009141EA"/>
    <w:rsid w:val="009142DD"/>
    <w:rsid w:val="009150E5"/>
    <w:rsid w:val="0091628E"/>
    <w:rsid w:val="00916AF7"/>
    <w:rsid w:val="009178B6"/>
    <w:rsid w:val="0092073C"/>
    <w:rsid w:val="00921365"/>
    <w:rsid w:val="00922FF5"/>
    <w:rsid w:val="00923740"/>
    <w:rsid w:val="00924206"/>
    <w:rsid w:val="0092715C"/>
    <w:rsid w:val="00927211"/>
    <w:rsid w:val="00930C4F"/>
    <w:rsid w:val="00931225"/>
    <w:rsid w:val="009336E8"/>
    <w:rsid w:val="009344BE"/>
    <w:rsid w:val="00934846"/>
    <w:rsid w:val="00934CB6"/>
    <w:rsid w:val="00935789"/>
    <w:rsid w:val="00935DE8"/>
    <w:rsid w:val="009406C9"/>
    <w:rsid w:val="00940DDA"/>
    <w:rsid w:val="0094162F"/>
    <w:rsid w:val="00942D23"/>
    <w:rsid w:val="00942F5B"/>
    <w:rsid w:val="00944658"/>
    <w:rsid w:val="009452E2"/>
    <w:rsid w:val="0094584A"/>
    <w:rsid w:val="00945E1E"/>
    <w:rsid w:val="00946B91"/>
    <w:rsid w:val="00955EB1"/>
    <w:rsid w:val="00961DBA"/>
    <w:rsid w:val="00967488"/>
    <w:rsid w:val="0097010E"/>
    <w:rsid w:val="00975F4C"/>
    <w:rsid w:val="00976795"/>
    <w:rsid w:val="0097720D"/>
    <w:rsid w:val="009911D8"/>
    <w:rsid w:val="00994417"/>
    <w:rsid w:val="0099613B"/>
    <w:rsid w:val="009A2609"/>
    <w:rsid w:val="009A46C4"/>
    <w:rsid w:val="009A4E43"/>
    <w:rsid w:val="009A69E9"/>
    <w:rsid w:val="009B0DB1"/>
    <w:rsid w:val="009B29B5"/>
    <w:rsid w:val="009B4702"/>
    <w:rsid w:val="009C2474"/>
    <w:rsid w:val="009D09A7"/>
    <w:rsid w:val="009D119A"/>
    <w:rsid w:val="009D1B0B"/>
    <w:rsid w:val="009D5E91"/>
    <w:rsid w:val="009D7214"/>
    <w:rsid w:val="009E0D95"/>
    <w:rsid w:val="009E3298"/>
    <w:rsid w:val="009E5689"/>
    <w:rsid w:val="009F0E32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2479"/>
    <w:rsid w:val="00A24FBE"/>
    <w:rsid w:val="00A25054"/>
    <w:rsid w:val="00A2555F"/>
    <w:rsid w:val="00A26F63"/>
    <w:rsid w:val="00A3005E"/>
    <w:rsid w:val="00A30BB5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0D7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1DC5"/>
    <w:rsid w:val="00AD3436"/>
    <w:rsid w:val="00AD3C7A"/>
    <w:rsid w:val="00AD4430"/>
    <w:rsid w:val="00AD736E"/>
    <w:rsid w:val="00AE1B1B"/>
    <w:rsid w:val="00AE2E74"/>
    <w:rsid w:val="00AE3ED7"/>
    <w:rsid w:val="00AE405E"/>
    <w:rsid w:val="00AE5743"/>
    <w:rsid w:val="00AE5A04"/>
    <w:rsid w:val="00AE5E33"/>
    <w:rsid w:val="00AF01BD"/>
    <w:rsid w:val="00AF256D"/>
    <w:rsid w:val="00AF26CE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259F0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39FD"/>
    <w:rsid w:val="00B4577B"/>
    <w:rsid w:val="00B46230"/>
    <w:rsid w:val="00B473D8"/>
    <w:rsid w:val="00B51329"/>
    <w:rsid w:val="00B517FA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17A6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1061"/>
    <w:rsid w:val="00BE2F89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11A1B"/>
    <w:rsid w:val="00C12963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F6D"/>
    <w:rsid w:val="00C77C5F"/>
    <w:rsid w:val="00C8078F"/>
    <w:rsid w:val="00C82F31"/>
    <w:rsid w:val="00C84FF6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E1E9C"/>
    <w:rsid w:val="00CF18C3"/>
    <w:rsid w:val="00CF20DB"/>
    <w:rsid w:val="00CF2CCF"/>
    <w:rsid w:val="00CF58ED"/>
    <w:rsid w:val="00D00060"/>
    <w:rsid w:val="00D01420"/>
    <w:rsid w:val="00D01728"/>
    <w:rsid w:val="00D01BA7"/>
    <w:rsid w:val="00D02EDE"/>
    <w:rsid w:val="00D03219"/>
    <w:rsid w:val="00D053B3"/>
    <w:rsid w:val="00D05ABC"/>
    <w:rsid w:val="00D12590"/>
    <w:rsid w:val="00D130D3"/>
    <w:rsid w:val="00D151E9"/>
    <w:rsid w:val="00D15C79"/>
    <w:rsid w:val="00D200CD"/>
    <w:rsid w:val="00D215D2"/>
    <w:rsid w:val="00D22E85"/>
    <w:rsid w:val="00D230F4"/>
    <w:rsid w:val="00D24A89"/>
    <w:rsid w:val="00D2593D"/>
    <w:rsid w:val="00D25D44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2D8D"/>
    <w:rsid w:val="00D53036"/>
    <w:rsid w:val="00D5325C"/>
    <w:rsid w:val="00D53D4B"/>
    <w:rsid w:val="00D55E66"/>
    <w:rsid w:val="00D57468"/>
    <w:rsid w:val="00D6432A"/>
    <w:rsid w:val="00D67114"/>
    <w:rsid w:val="00D7116A"/>
    <w:rsid w:val="00D73740"/>
    <w:rsid w:val="00D73DDA"/>
    <w:rsid w:val="00D74078"/>
    <w:rsid w:val="00D756BE"/>
    <w:rsid w:val="00D82878"/>
    <w:rsid w:val="00D82EA3"/>
    <w:rsid w:val="00D84279"/>
    <w:rsid w:val="00D86BCC"/>
    <w:rsid w:val="00DA124C"/>
    <w:rsid w:val="00DA75B8"/>
    <w:rsid w:val="00DB068E"/>
    <w:rsid w:val="00DB497F"/>
    <w:rsid w:val="00DB50D8"/>
    <w:rsid w:val="00DB56A7"/>
    <w:rsid w:val="00DB5D09"/>
    <w:rsid w:val="00DB5DA4"/>
    <w:rsid w:val="00DB6B66"/>
    <w:rsid w:val="00DB772F"/>
    <w:rsid w:val="00DC119E"/>
    <w:rsid w:val="00DD057E"/>
    <w:rsid w:val="00DD202C"/>
    <w:rsid w:val="00DD47A5"/>
    <w:rsid w:val="00DE0E5A"/>
    <w:rsid w:val="00DE1C3A"/>
    <w:rsid w:val="00DE2499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07695"/>
    <w:rsid w:val="00E13268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2CEB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B7A31"/>
    <w:rsid w:val="00EC02E6"/>
    <w:rsid w:val="00EC0474"/>
    <w:rsid w:val="00EC34E1"/>
    <w:rsid w:val="00EC408A"/>
    <w:rsid w:val="00EC447E"/>
    <w:rsid w:val="00EC7F39"/>
    <w:rsid w:val="00ED256E"/>
    <w:rsid w:val="00ED3736"/>
    <w:rsid w:val="00ED3FB7"/>
    <w:rsid w:val="00ED680B"/>
    <w:rsid w:val="00ED6D2E"/>
    <w:rsid w:val="00ED7A1B"/>
    <w:rsid w:val="00EE1D59"/>
    <w:rsid w:val="00EE2AC0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5D8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36C7E"/>
    <w:rsid w:val="00F428B0"/>
    <w:rsid w:val="00F4352E"/>
    <w:rsid w:val="00F44448"/>
    <w:rsid w:val="00F456EA"/>
    <w:rsid w:val="00F469DB"/>
    <w:rsid w:val="00F52C92"/>
    <w:rsid w:val="00F6286D"/>
    <w:rsid w:val="00F66206"/>
    <w:rsid w:val="00F66477"/>
    <w:rsid w:val="00F6688E"/>
    <w:rsid w:val="00F67F97"/>
    <w:rsid w:val="00F74B9C"/>
    <w:rsid w:val="00F80D2C"/>
    <w:rsid w:val="00F81E39"/>
    <w:rsid w:val="00F81FE8"/>
    <w:rsid w:val="00F84A16"/>
    <w:rsid w:val="00F85D53"/>
    <w:rsid w:val="00F86635"/>
    <w:rsid w:val="00F86B23"/>
    <w:rsid w:val="00F90C8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A6E5D"/>
    <w:rsid w:val="00FB0CBC"/>
    <w:rsid w:val="00FB407C"/>
    <w:rsid w:val="00FB70A4"/>
    <w:rsid w:val="00FC0A71"/>
    <w:rsid w:val="00FC22FB"/>
    <w:rsid w:val="00FC650F"/>
    <w:rsid w:val="00FD0C9C"/>
    <w:rsid w:val="00FD2BEB"/>
    <w:rsid w:val="00FD3978"/>
    <w:rsid w:val="00FD6B32"/>
    <w:rsid w:val="00FD6C37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8A583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6">
    <w:name w:val="s_16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6">
    <w:name w:val="Emphasis"/>
    <w:basedOn w:val="a0"/>
    <w:uiPriority w:val="20"/>
    <w:qFormat/>
    <w:rsid w:val="00347FF1"/>
    <w:rPr>
      <w:i/>
      <w:iCs/>
    </w:rPr>
  </w:style>
  <w:style w:type="paragraph" w:customStyle="1" w:styleId="empty">
    <w:name w:val="empty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8.w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0.emf"/><Relationship Id="rId47" Type="http://schemas.openxmlformats.org/officeDocument/2006/relationships/image" Target="media/image34.emf"/><Relationship Id="rId50" Type="http://schemas.openxmlformats.org/officeDocument/2006/relationships/hyperlink" Target="http://internet.garant.ru/document/redirect/74475509/100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3.e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internet.garant.ru/" TargetMode="External"/><Relationship Id="rId29" Type="http://schemas.openxmlformats.org/officeDocument/2006/relationships/image" Target="media/image18.emf"/><Relationship Id="rId41" Type="http://schemas.openxmlformats.org/officeDocument/2006/relationships/image" Target="media/image29.emf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hyperlink" Target="http://internet.garant.ru/document/redirect/74475509/1000" TargetMode="External"/><Relationship Id="rId45" Type="http://schemas.openxmlformats.org/officeDocument/2006/relationships/hyperlink" Target="http://internet.garant.ru/document/redirect/74475509/1000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6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31" Type="http://schemas.openxmlformats.org/officeDocument/2006/relationships/image" Target="media/image20.emf"/><Relationship Id="rId44" Type="http://schemas.openxmlformats.org/officeDocument/2006/relationships/image" Target="media/image32.emf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74475509/1000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7A03-7877-40CD-914C-5D46EFBA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14297</Words>
  <Characters>81498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2022-03-11T08:51:00Z</cp:lastPrinted>
  <dcterms:created xsi:type="dcterms:W3CDTF">2022-03-21T11:54:00Z</dcterms:created>
  <dcterms:modified xsi:type="dcterms:W3CDTF">2022-03-21T11:54:00Z</dcterms:modified>
</cp:coreProperties>
</file>